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59"/>
        <w:spacing w:after="0"/>
        <w:rPr>
          <w:sz w:val="20"/>
          <w:szCs w:val="20"/>
          <w:color w:val="auto"/>
        </w:rPr>
      </w:pPr>
      <w:r>
        <w:rPr>
          <w:rFonts w:ascii="Arial" w:cs="Arial" w:eastAsia="Arial" w:hAnsi="Arial"/>
          <w:sz w:val="25"/>
          <w:szCs w:val="25"/>
          <w:b w:val="1"/>
          <w:bCs w:val="1"/>
          <w:color w:val="auto"/>
        </w:rPr>
        <w:drawing>
          <wp:anchor simplePos="0" relativeHeight="251657728" behindDoc="1" locked="0" layoutInCell="0" allowOverlap="1">
            <wp:simplePos x="0" y="0"/>
            <wp:positionH relativeFrom="page">
              <wp:posOffset>688340</wp:posOffset>
            </wp:positionH>
            <wp:positionV relativeFrom="page">
              <wp:posOffset>157480</wp:posOffset>
            </wp:positionV>
            <wp:extent cx="6172200" cy="25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172200" cy="25400"/>
                    </a:xfrm>
                    <a:prstGeom prst="rect">
                      <a:avLst/>
                    </a:prstGeom>
                    <a:noFill/>
                  </pic:spPr>
                </pic:pic>
              </a:graphicData>
            </a:graphic>
          </wp:anchor>
        </w:drawing>
        <w:drawing>
          <wp:anchor simplePos="0" relativeHeight="251657728" behindDoc="1" locked="0" layoutInCell="0" allowOverlap="1">
            <wp:simplePos x="0" y="0"/>
            <wp:positionH relativeFrom="page">
              <wp:posOffset>688340</wp:posOffset>
            </wp:positionH>
            <wp:positionV relativeFrom="page">
              <wp:posOffset>226060</wp:posOffset>
            </wp:positionV>
            <wp:extent cx="617220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172200" cy="8255"/>
                    </a:xfrm>
                    <a:prstGeom prst="rect">
                      <a:avLst/>
                    </a:prstGeom>
                    <a:noFill/>
                  </pic:spPr>
                </pic:pic>
              </a:graphicData>
            </a:graphic>
          </wp:anchor>
        </w:drawing>
        <w:t>UNITED STATES</w:t>
      </w:r>
    </w:p>
    <w:p>
      <w:pPr>
        <w:spacing w:after="0" w:line="46" w:lineRule="exact"/>
        <w:rPr>
          <w:sz w:val="24"/>
          <w:szCs w:val="24"/>
          <w:color w:val="auto"/>
        </w:rPr>
      </w:pPr>
    </w:p>
    <w:p>
      <w:pPr>
        <w:jc w:val="center"/>
        <w:ind w:right="-159"/>
        <w:spacing w:after="0"/>
        <w:rPr>
          <w:sz w:val="20"/>
          <w:szCs w:val="20"/>
          <w:color w:val="auto"/>
        </w:rPr>
      </w:pPr>
      <w:r>
        <w:rPr>
          <w:rFonts w:ascii="Arial" w:cs="Arial" w:eastAsia="Arial" w:hAnsi="Arial"/>
          <w:sz w:val="25"/>
          <w:szCs w:val="25"/>
          <w:b w:val="1"/>
          <w:bCs w:val="1"/>
          <w:color w:val="auto"/>
        </w:rPr>
        <w:t>SECURITIES AND EXCHANGE COMMISSION</w:t>
      </w:r>
    </w:p>
    <w:p>
      <w:pPr>
        <w:spacing w:after="0" w:line="2" w:lineRule="exact"/>
        <w:rPr>
          <w:sz w:val="24"/>
          <w:szCs w:val="24"/>
          <w:color w:val="auto"/>
        </w:rPr>
      </w:pPr>
    </w:p>
    <w:p>
      <w:pPr>
        <w:jc w:val="center"/>
        <w:ind w:right="-159"/>
        <w:spacing w:after="0"/>
        <w:rPr>
          <w:sz w:val="20"/>
          <w:szCs w:val="20"/>
          <w:color w:val="auto"/>
        </w:rPr>
      </w:pPr>
      <w:r>
        <w:rPr>
          <w:rFonts w:ascii="Arial" w:cs="Arial" w:eastAsia="Arial" w:hAnsi="Arial"/>
          <w:sz w:val="22"/>
          <w:szCs w:val="22"/>
          <w:b w:val="1"/>
          <w:bCs w:val="1"/>
          <w:color w:val="auto"/>
        </w:rPr>
        <w:t>Washington, D.C. 20549</w:t>
      </w:r>
    </w:p>
    <w:p>
      <w:pPr>
        <w:spacing w:after="0" w:line="400" w:lineRule="exact"/>
        <w:rPr>
          <w:sz w:val="24"/>
          <w:szCs w:val="24"/>
          <w:color w:val="auto"/>
        </w:rPr>
      </w:pPr>
    </w:p>
    <w:p>
      <w:pPr>
        <w:jc w:val="center"/>
        <w:ind w:right="-159"/>
        <w:spacing w:after="0"/>
        <w:rPr>
          <w:sz w:val="20"/>
          <w:szCs w:val="20"/>
          <w:color w:val="auto"/>
        </w:rPr>
      </w:pPr>
      <w:r>
        <w:rPr>
          <w:rFonts w:ascii="Arial" w:cs="Arial" w:eastAsia="Arial" w:hAnsi="Arial"/>
          <w:sz w:val="32"/>
          <w:szCs w:val="32"/>
          <w:b w:val="1"/>
          <w:bCs w:val="1"/>
          <w:color w:val="auto"/>
        </w:rPr>
        <w:t>FORM 6-K</w:t>
      </w:r>
    </w:p>
    <w:p>
      <w:pPr>
        <w:spacing w:after="0" w:line="200" w:lineRule="exact"/>
        <w:rPr>
          <w:sz w:val="24"/>
          <w:szCs w:val="24"/>
          <w:color w:val="auto"/>
        </w:rPr>
      </w:pPr>
    </w:p>
    <w:p>
      <w:pPr>
        <w:spacing w:after="0" w:line="261"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REPORT OF FOREIGN PRIVATE ISSUER</w:t>
      </w:r>
    </w:p>
    <w:p>
      <w:pPr>
        <w:spacing w:after="0" w:line="13"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PURSUANT TO RULE 13a-16 OR 15d-16 UNDER THE</w:t>
      </w:r>
    </w:p>
    <w:p>
      <w:pPr>
        <w:jc w:val="center"/>
        <w:ind w:right="-159"/>
        <w:spacing w:after="0"/>
        <w:rPr>
          <w:sz w:val="20"/>
          <w:szCs w:val="20"/>
          <w:color w:val="auto"/>
        </w:rPr>
      </w:pPr>
      <w:r>
        <w:rPr>
          <w:rFonts w:ascii="Arial" w:cs="Arial" w:eastAsia="Arial" w:hAnsi="Arial"/>
          <w:sz w:val="18"/>
          <w:szCs w:val="18"/>
          <w:color w:val="auto"/>
        </w:rPr>
        <w:t>SECURITIES EXCHANGE ACT OF 1934</w:t>
      </w:r>
    </w:p>
    <w:p>
      <w:pPr>
        <w:spacing w:after="0" w:line="200" w:lineRule="exact"/>
        <w:rPr>
          <w:sz w:val="24"/>
          <w:szCs w:val="24"/>
          <w:color w:val="auto"/>
        </w:rPr>
      </w:pPr>
    </w:p>
    <w:p>
      <w:pPr>
        <w:spacing w:after="0" w:line="233"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For the month of March, 2021</w:t>
      </w:r>
    </w:p>
    <w:p>
      <w:pPr>
        <w:spacing w:after="0" w:line="200" w:lineRule="exact"/>
        <w:rPr>
          <w:sz w:val="24"/>
          <w:szCs w:val="24"/>
          <w:color w:val="auto"/>
        </w:rPr>
      </w:pPr>
    </w:p>
    <w:p>
      <w:pPr>
        <w:spacing w:after="0" w:line="241"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Commission File Number 1-11414</w:t>
      </w:r>
    </w:p>
    <w:p>
      <w:pPr>
        <w:spacing w:after="0" w:line="200" w:lineRule="exact"/>
        <w:rPr>
          <w:sz w:val="24"/>
          <w:szCs w:val="24"/>
          <w:color w:val="auto"/>
        </w:rPr>
      </w:pPr>
    </w:p>
    <w:p>
      <w:pPr>
        <w:spacing w:after="0" w:line="200" w:lineRule="exact"/>
        <w:rPr>
          <w:sz w:val="24"/>
          <w:szCs w:val="24"/>
          <w:color w:val="auto"/>
        </w:rPr>
      </w:pPr>
    </w:p>
    <w:p>
      <w:pPr>
        <w:spacing w:after="0" w:line="238" w:lineRule="exact"/>
        <w:rPr>
          <w:sz w:val="24"/>
          <w:szCs w:val="24"/>
          <w:color w:val="auto"/>
        </w:rPr>
      </w:pPr>
    </w:p>
    <w:p>
      <w:pPr>
        <w:jc w:val="center"/>
        <w:ind w:right="-159"/>
        <w:spacing w:after="0"/>
        <w:rPr>
          <w:sz w:val="20"/>
          <w:szCs w:val="20"/>
          <w:color w:val="auto"/>
        </w:rPr>
      </w:pPr>
      <w:r>
        <w:rPr>
          <w:rFonts w:ascii="Arial" w:cs="Arial" w:eastAsia="Arial" w:hAnsi="Arial"/>
          <w:sz w:val="32"/>
          <w:szCs w:val="32"/>
          <w:b w:val="1"/>
          <w:bCs w:val="1"/>
          <w:color w:val="auto"/>
        </w:rPr>
        <w:t>BANCO LATINOAMERICANO DE COMERCIO EXTERIOR, S.A.</w:t>
      </w:r>
    </w:p>
    <w:p>
      <w:pPr>
        <w:spacing w:after="0" w:line="51"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(Exact name of Registrant as specified in its Charter)</w:t>
      </w:r>
    </w:p>
    <w:p>
      <w:pPr>
        <w:spacing w:after="0" w:line="200" w:lineRule="exact"/>
        <w:rPr>
          <w:sz w:val="24"/>
          <w:szCs w:val="24"/>
          <w:color w:val="auto"/>
        </w:rPr>
      </w:pPr>
    </w:p>
    <w:p>
      <w:pPr>
        <w:spacing w:after="0" w:line="200" w:lineRule="exact"/>
        <w:rPr>
          <w:sz w:val="24"/>
          <w:szCs w:val="24"/>
          <w:color w:val="auto"/>
        </w:rPr>
      </w:pPr>
    </w:p>
    <w:p>
      <w:pPr>
        <w:spacing w:after="0" w:line="202" w:lineRule="exact"/>
        <w:rPr>
          <w:sz w:val="24"/>
          <w:szCs w:val="24"/>
          <w:color w:val="auto"/>
        </w:rPr>
      </w:pPr>
    </w:p>
    <w:p>
      <w:pPr>
        <w:jc w:val="center"/>
        <w:ind w:right="-159"/>
        <w:spacing w:after="0"/>
        <w:rPr>
          <w:sz w:val="20"/>
          <w:szCs w:val="20"/>
          <w:color w:val="auto"/>
        </w:rPr>
      </w:pPr>
      <w:r>
        <w:rPr>
          <w:rFonts w:ascii="Arial" w:cs="Arial" w:eastAsia="Arial" w:hAnsi="Arial"/>
          <w:sz w:val="32"/>
          <w:szCs w:val="32"/>
          <w:b w:val="1"/>
          <w:bCs w:val="1"/>
          <w:color w:val="auto"/>
        </w:rPr>
        <w:t>FOREIGN TRADE BANK OF LATIN AMERICA, INC.</w:t>
      </w:r>
    </w:p>
    <w:p>
      <w:pPr>
        <w:spacing w:after="0" w:line="51"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(Translation of Registrant’s name into English)</w:t>
      </w:r>
    </w:p>
    <w:p>
      <w:pPr>
        <w:spacing w:after="0" w:line="200" w:lineRule="exact"/>
        <w:rPr>
          <w:sz w:val="24"/>
          <w:szCs w:val="24"/>
          <w:color w:val="auto"/>
        </w:rPr>
      </w:pPr>
    </w:p>
    <w:p>
      <w:pPr>
        <w:spacing w:after="0" w:line="219"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Business Park Torre V, Ave. La Rotonda, Costa del Este</w:t>
      </w:r>
    </w:p>
    <w:p>
      <w:pPr>
        <w:spacing w:after="0" w:line="13"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P.O. Box 0819-08730</w:t>
      </w:r>
    </w:p>
    <w:p>
      <w:pPr>
        <w:jc w:val="center"/>
        <w:ind w:right="-159"/>
        <w:spacing w:after="0" w:line="234" w:lineRule="auto"/>
        <w:rPr>
          <w:sz w:val="20"/>
          <w:szCs w:val="20"/>
          <w:color w:val="auto"/>
        </w:rPr>
      </w:pPr>
      <w:r>
        <w:rPr>
          <w:rFonts w:ascii="Arial" w:cs="Arial" w:eastAsia="Arial" w:hAnsi="Arial"/>
          <w:sz w:val="18"/>
          <w:szCs w:val="18"/>
          <w:color w:val="auto"/>
        </w:rPr>
        <w:t>Panama City, Republic of Panama</w:t>
      </w:r>
    </w:p>
    <w:p>
      <w:pPr>
        <w:spacing w:after="0" w:line="1" w:lineRule="exact"/>
        <w:rPr>
          <w:sz w:val="24"/>
          <w:szCs w:val="24"/>
          <w:color w:val="auto"/>
        </w:rPr>
      </w:pPr>
    </w:p>
    <w:p>
      <w:pPr>
        <w:jc w:val="center"/>
        <w:ind w:right="-99"/>
        <w:spacing w:after="0"/>
        <w:rPr>
          <w:sz w:val="20"/>
          <w:szCs w:val="20"/>
          <w:color w:val="auto"/>
        </w:rPr>
      </w:pPr>
      <w:r>
        <w:rPr>
          <w:rFonts w:ascii="Arial" w:cs="Arial" w:eastAsia="Arial" w:hAnsi="Arial"/>
          <w:sz w:val="18"/>
          <w:szCs w:val="18"/>
          <w:color w:val="auto"/>
        </w:rPr>
        <w:t>(Address of Registrant’s Principal Executive Offices)</w:t>
      </w:r>
    </w:p>
    <w:p>
      <w:pPr>
        <w:spacing w:after="0" w:line="200" w:lineRule="exact"/>
        <w:rPr>
          <w:sz w:val="24"/>
          <w:szCs w:val="24"/>
          <w:color w:val="auto"/>
        </w:rPr>
      </w:pPr>
    </w:p>
    <w:p>
      <w:pPr>
        <w:spacing w:after="0" w:line="233" w:lineRule="exact"/>
        <w:rPr>
          <w:sz w:val="24"/>
          <w:szCs w:val="24"/>
          <w:color w:val="auto"/>
        </w:rPr>
      </w:pPr>
    </w:p>
    <w:p>
      <w:pPr>
        <w:spacing w:after="0"/>
        <w:rPr>
          <w:sz w:val="20"/>
          <w:szCs w:val="20"/>
          <w:color w:val="auto"/>
        </w:rPr>
      </w:pPr>
      <w:r>
        <w:rPr>
          <w:rFonts w:ascii="Arial" w:cs="Arial" w:eastAsia="Arial" w:hAnsi="Arial"/>
          <w:sz w:val="18"/>
          <w:szCs w:val="18"/>
          <w:color w:val="auto"/>
        </w:rPr>
        <w:t>Indicate by check mark whether the registrant files or will file annual reports under cover of Form 20-F or Form 40-F.</w:t>
      </w:r>
    </w:p>
    <w:p>
      <w:pPr>
        <w:spacing w:after="0" w:line="200" w:lineRule="exact"/>
        <w:rPr>
          <w:sz w:val="24"/>
          <w:szCs w:val="24"/>
          <w:color w:val="auto"/>
        </w:rPr>
      </w:pPr>
    </w:p>
    <w:p>
      <w:pPr>
        <w:spacing w:after="0" w:line="217" w:lineRule="exact"/>
        <w:rPr>
          <w:sz w:val="24"/>
          <w:szCs w:val="24"/>
          <w:color w:val="auto"/>
        </w:rPr>
      </w:pPr>
    </w:p>
    <w:p>
      <w:pPr>
        <w:jc w:val="center"/>
        <w:ind w:right="-139"/>
        <w:spacing w:after="0" w:line="207" w:lineRule="exact"/>
        <w:rPr>
          <w:sz w:val="20"/>
          <w:szCs w:val="20"/>
          <w:color w:val="auto"/>
        </w:rPr>
      </w:pPr>
      <w:r>
        <w:rPr>
          <w:rFonts w:ascii="Arial" w:cs="Arial" w:eastAsia="Arial" w:hAnsi="Arial"/>
          <w:sz w:val="18"/>
          <w:szCs w:val="18"/>
          <w:color w:val="auto"/>
        </w:rPr>
        <w:t xml:space="preserve">Form 20-F </w:t>
      </w:r>
      <w:r>
        <w:rPr>
          <w:rFonts w:ascii="MS PGothic" w:cs="MS PGothic" w:eastAsia="MS PGothic" w:hAnsi="MS PGothic"/>
          <w:sz w:val="18"/>
          <w:szCs w:val="18"/>
          <w:color w:val="auto"/>
        </w:rPr>
        <w:t>☒</w:t>
      </w:r>
      <w:r>
        <w:rPr>
          <w:rFonts w:ascii="Arial" w:cs="Arial" w:eastAsia="Arial" w:hAnsi="Arial"/>
          <w:sz w:val="18"/>
          <w:szCs w:val="18"/>
          <w:color w:val="auto"/>
        </w:rPr>
        <w:t xml:space="preserve"> Form 40-F </w:t>
      </w:r>
      <w:r>
        <w:rPr>
          <w:rFonts w:ascii="MS PGothic" w:cs="MS PGothic" w:eastAsia="MS PGothic" w:hAnsi="MS PGothic"/>
          <w:sz w:val="18"/>
          <w:szCs w:val="18"/>
          <w:color w:val="auto"/>
        </w:rPr>
        <w:t>☐</w:t>
      </w:r>
    </w:p>
    <w:p>
      <w:pPr>
        <w:spacing w:after="0" w:line="200" w:lineRule="exact"/>
        <w:rPr>
          <w:sz w:val="24"/>
          <w:szCs w:val="24"/>
          <w:color w:val="auto"/>
        </w:rPr>
      </w:pPr>
    </w:p>
    <w:p>
      <w:pPr>
        <w:spacing w:after="0" w:line="252" w:lineRule="exact"/>
        <w:rPr>
          <w:sz w:val="24"/>
          <w:szCs w:val="24"/>
          <w:color w:val="auto"/>
        </w:rPr>
      </w:pPr>
    </w:p>
    <w:p>
      <w:pPr>
        <w:spacing w:after="0"/>
        <w:rPr>
          <w:sz w:val="20"/>
          <w:szCs w:val="20"/>
          <w:color w:val="auto"/>
        </w:rPr>
      </w:pPr>
      <w:r>
        <w:rPr>
          <w:rFonts w:ascii="Arial" w:cs="Arial" w:eastAsia="Arial" w:hAnsi="Arial"/>
          <w:sz w:val="18"/>
          <w:szCs w:val="18"/>
          <w:color w:val="auto"/>
        </w:rPr>
        <w:t>Indicate by check mark if the registrant is submitting the Form 6-K in paper as permitted by Regulation S-T Rule 101(b)</w:t>
      </w:r>
    </w:p>
    <w:p>
      <w:pPr>
        <w:spacing w:after="0" w:line="18" w:lineRule="exact"/>
        <w:rPr>
          <w:sz w:val="24"/>
          <w:szCs w:val="24"/>
          <w:color w:val="auto"/>
        </w:rPr>
      </w:pPr>
    </w:p>
    <w:p>
      <w:pPr>
        <w:spacing w:after="0"/>
        <w:rPr>
          <w:sz w:val="20"/>
          <w:szCs w:val="20"/>
          <w:color w:val="auto"/>
        </w:rPr>
      </w:pPr>
      <w:r>
        <w:rPr>
          <w:rFonts w:ascii="Arial" w:cs="Arial" w:eastAsia="Arial" w:hAnsi="Arial"/>
          <w:sz w:val="18"/>
          <w:szCs w:val="18"/>
          <w:color w:val="auto"/>
        </w:rPr>
        <w:t>(1):</w:t>
      </w:r>
    </w:p>
    <w:p>
      <w:pPr>
        <w:spacing w:after="0" w:line="200" w:lineRule="exact"/>
        <w:rPr>
          <w:sz w:val="24"/>
          <w:szCs w:val="24"/>
          <w:color w:val="auto"/>
        </w:rPr>
      </w:pPr>
    </w:p>
    <w:p>
      <w:pPr>
        <w:spacing w:after="0" w:line="235" w:lineRule="exact"/>
        <w:rPr>
          <w:sz w:val="24"/>
          <w:szCs w:val="24"/>
          <w:color w:val="auto"/>
        </w:rPr>
      </w:pPr>
    </w:p>
    <w:p>
      <w:pPr>
        <w:jc w:val="center"/>
        <w:ind w:right="-139"/>
        <w:spacing w:after="0" w:line="207" w:lineRule="exact"/>
        <w:rPr>
          <w:sz w:val="20"/>
          <w:szCs w:val="20"/>
          <w:color w:val="auto"/>
        </w:rPr>
      </w:pPr>
      <w:r>
        <w:rPr>
          <w:rFonts w:ascii="Arial" w:cs="Arial" w:eastAsia="Arial" w:hAnsi="Arial"/>
          <w:sz w:val="18"/>
          <w:szCs w:val="18"/>
          <w:color w:val="auto"/>
        </w:rPr>
        <w:t xml:space="preserve">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00" w:lineRule="exact"/>
        <w:rPr>
          <w:sz w:val="24"/>
          <w:szCs w:val="24"/>
          <w:color w:val="auto"/>
        </w:rPr>
      </w:pPr>
    </w:p>
    <w:p>
      <w:pPr>
        <w:spacing w:after="0" w:line="252" w:lineRule="exact"/>
        <w:rPr>
          <w:sz w:val="24"/>
          <w:szCs w:val="24"/>
          <w:color w:val="auto"/>
        </w:rPr>
      </w:pPr>
    </w:p>
    <w:p>
      <w:pPr>
        <w:spacing w:after="0"/>
        <w:rPr>
          <w:sz w:val="20"/>
          <w:szCs w:val="20"/>
          <w:color w:val="auto"/>
        </w:rPr>
      </w:pPr>
      <w:r>
        <w:rPr>
          <w:rFonts w:ascii="Arial" w:cs="Arial" w:eastAsia="Arial" w:hAnsi="Arial"/>
          <w:sz w:val="18"/>
          <w:szCs w:val="18"/>
          <w:color w:val="auto"/>
        </w:rPr>
        <w:t>Indicate by check mark if the registrant is submitting the Form 6-K in paper as permitted by Regulation S-T Rule 101(b)</w:t>
      </w:r>
    </w:p>
    <w:p>
      <w:pPr>
        <w:spacing w:after="0" w:line="18" w:lineRule="exact"/>
        <w:rPr>
          <w:sz w:val="24"/>
          <w:szCs w:val="24"/>
          <w:color w:val="auto"/>
        </w:rPr>
      </w:pPr>
    </w:p>
    <w:p>
      <w:pPr>
        <w:spacing w:after="0"/>
        <w:rPr>
          <w:sz w:val="20"/>
          <w:szCs w:val="20"/>
          <w:color w:val="auto"/>
        </w:rPr>
      </w:pPr>
      <w:r>
        <w:rPr>
          <w:rFonts w:ascii="Arial" w:cs="Arial" w:eastAsia="Arial" w:hAnsi="Arial"/>
          <w:sz w:val="18"/>
          <w:szCs w:val="18"/>
          <w:color w:val="auto"/>
        </w:rPr>
        <w:t>(7):</w:t>
      </w:r>
    </w:p>
    <w:p>
      <w:pPr>
        <w:spacing w:after="0" w:line="200" w:lineRule="exact"/>
        <w:rPr>
          <w:sz w:val="24"/>
          <w:szCs w:val="24"/>
          <w:color w:val="auto"/>
        </w:rPr>
      </w:pPr>
    </w:p>
    <w:p>
      <w:pPr>
        <w:spacing w:after="0" w:line="235" w:lineRule="exact"/>
        <w:rPr>
          <w:sz w:val="24"/>
          <w:szCs w:val="24"/>
          <w:color w:val="auto"/>
        </w:rPr>
      </w:pPr>
    </w:p>
    <w:p>
      <w:pPr>
        <w:jc w:val="center"/>
        <w:ind w:right="-139"/>
        <w:spacing w:after="0" w:line="207" w:lineRule="exact"/>
        <w:rPr>
          <w:sz w:val="20"/>
          <w:szCs w:val="20"/>
          <w:color w:val="auto"/>
        </w:rPr>
      </w:pPr>
      <w:r>
        <w:rPr>
          <w:rFonts w:ascii="Arial" w:cs="Arial" w:eastAsia="Arial" w:hAnsi="Arial"/>
          <w:sz w:val="18"/>
          <w:szCs w:val="18"/>
          <w:color w:val="auto"/>
        </w:rPr>
        <w:t xml:space="preserve">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-408305</wp:posOffset>
            </wp:positionH>
            <wp:positionV relativeFrom="paragraph">
              <wp:posOffset>353060</wp:posOffset>
            </wp:positionV>
            <wp:extent cx="6995160" cy="171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995160" cy="1714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164465</wp:posOffset>
            </wp:positionV>
            <wp:extent cx="6172200"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172200" cy="8890"/>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215900</wp:posOffset>
            </wp:positionV>
            <wp:extent cx="6172200" cy="254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172200" cy="25400"/>
                    </a:xfrm>
                    <a:prstGeom prst="rect">
                      <a:avLst/>
                    </a:prstGeom>
                    <a:noFill/>
                  </pic:spPr>
                </pic:pic>
              </a:graphicData>
            </a:graphic>
          </wp:anchor>
        </w:drawing>
      </w:r>
    </w:p>
    <w:p>
      <w:pPr>
        <w:sectPr>
          <w:pgSz w:w="11900" w:h="16838" w:orient="portrait"/>
          <w:cols w:equalWidth="0" w:num="1">
            <w:col w:w="9580"/>
          </w:cols>
          <w:pgMar w:left="1080" w:top="510" w:right="1239" w:bottom="1440" w:gutter="0" w:footer="0" w:header="0"/>
        </w:sectPr>
      </w:pPr>
    </w:p>
    <w:bookmarkStart w:id="1" w:name="page2"/>
    <w:bookmarkEnd w:id="1"/>
    <w:p>
      <w:pPr>
        <w:jc w:val="center"/>
        <w:ind w:right="19"/>
        <w:spacing w:after="0"/>
        <w:rPr>
          <w:sz w:val="20"/>
          <w:szCs w:val="20"/>
          <w:color w:val="auto"/>
        </w:rPr>
      </w:pPr>
      <w:r>
        <w:rPr>
          <w:rFonts w:ascii="Arial" w:cs="Arial" w:eastAsia="Arial" w:hAnsi="Arial"/>
          <w:sz w:val="18"/>
          <w:szCs w:val="18"/>
          <w:b w:val="1"/>
          <w:bCs w:val="1"/>
          <w:color w:val="auto"/>
        </w:rPr>
        <w:t>SIGNATURES</w:t>
      </w:r>
    </w:p>
    <w:p>
      <w:pPr>
        <w:spacing w:after="0" w:line="106" w:lineRule="exact"/>
        <w:rPr>
          <w:sz w:val="20"/>
          <w:szCs w:val="20"/>
          <w:color w:val="auto"/>
        </w:rPr>
      </w:pPr>
    </w:p>
    <w:p>
      <w:pPr>
        <w:ind w:left="300" w:right="319" w:firstLine="360"/>
        <w:spacing w:after="0" w:line="276" w:lineRule="auto"/>
        <w:rPr>
          <w:sz w:val="20"/>
          <w:szCs w:val="20"/>
          <w:color w:val="auto"/>
        </w:rPr>
      </w:pPr>
      <w:r>
        <w:rPr>
          <w:rFonts w:ascii="Arial" w:cs="Arial" w:eastAsia="Arial" w:hAnsi="Arial"/>
          <w:sz w:val="18"/>
          <w:szCs w:val="18"/>
          <w:color w:val="auto"/>
        </w:rPr>
        <w:t>Pursuant to the requirements of the Securities Exchange Act of 1934, the registrant has duly caused this report to be signed on its behalf by the undersigned, thereunto duly authorized.</w:t>
      </w:r>
    </w:p>
    <w:p>
      <w:pPr>
        <w:spacing w:after="0" w:line="77" w:lineRule="exact"/>
        <w:rPr>
          <w:sz w:val="20"/>
          <w:szCs w:val="20"/>
          <w:color w:val="auto"/>
        </w:rPr>
      </w:pPr>
    </w:p>
    <w:p>
      <w:pPr>
        <w:ind w:left="300"/>
        <w:spacing w:after="0"/>
        <w:rPr>
          <w:sz w:val="20"/>
          <w:szCs w:val="20"/>
          <w:color w:val="auto"/>
        </w:rPr>
      </w:pPr>
      <w:r>
        <w:rPr>
          <w:rFonts w:ascii="Arial" w:cs="Arial" w:eastAsia="Arial" w:hAnsi="Arial"/>
          <w:sz w:val="18"/>
          <w:szCs w:val="18"/>
          <w:color w:val="auto"/>
        </w:rPr>
        <w:t>Date: March 19, 2021</w:t>
      </w:r>
    </w:p>
    <w:p>
      <w:pPr>
        <w:spacing w:after="0" w:line="239" w:lineRule="exact"/>
        <w:rPr>
          <w:sz w:val="20"/>
          <w:szCs w:val="20"/>
          <w:color w:val="auto"/>
        </w:rPr>
      </w:pPr>
    </w:p>
    <w:p>
      <w:pPr>
        <w:ind w:left="4320"/>
        <w:spacing w:after="0"/>
        <w:rPr>
          <w:sz w:val="20"/>
          <w:szCs w:val="20"/>
          <w:color w:val="auto"/>
        </w:rPr>
      </w:pPr>
      <w:r>
        <w:rPr>
          <w:rFonts w:ascii="Arial" w:cs="Arial" w:eastAsia="Arial" w:hAnsi="Arial"/>
          <w:sz w:val="18"/>
          <w:szCs w:val="18"/>
          <w:color w:val="auto"/>
        </w:rPr>
        <w:t>FOREIGN TRADE BANK OF LATIN AMERICA, INC.</w:t>
      </w:r>
    </w:p>
    <w:p>
      <w:pPr>
        <w:spacing w:after="0" w:line="18" w:lineRule="exact"/>
        <w:rPr>
          <w:sz w:val="20"/>
          <w:szCs w:val="20"/>
          <w:color w:val="auto"/>
        </w:rPr>
      </w:pPr>
    </w:p>
    <w:p>
      <w:pPr>
        <w:ind w:left="4320"/>
        <w:spacing w:after="0"/>
        <w:rPr>
          <w:sz w:val="20"/>
          <w:szCs w:val="20"/>
          <w:color w:val="auto"/>
        </w:rPr>
      </w:pPr>
      <w:r>
        <w:rPr>
          <w:rFonts w:ascii="Arial" w:cs="Arial" w:eastAsia="Arial" w:hAnsi="Arial"/>
          <w:sz w:val="18"/>
          <w:szCs w:val="18"/>
          <w:i w:val="1"/>
          <w:iCs w:val="1"/>
          <w:color w:val="auto"/>
        </w:rPr>
        <w:t>(Registrant)</w:t>
      </w:r>
    </w:p>
    <w:p>
      <w:pPr>
        <w:spacing w:after="0" w:line="82" w:lineRule="exact"/>
        <w:rPr>
          <w:sz w:val="20"/>
          <w:szCs w:val="20"/>
          <w:color w:val="auto"/>
        </w:rPr>
      </w:pPr>
    </w:p>
    <w:p>
      <w:pPr>
        <w:ind w:left="4320"/>
        <w:spacing w:after="0"/>
        <w:tabs>
          <w:tab w:leader="none" w:pos="504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/s/ Cameron Letters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3211195</wp:posOffset>
            </wp:positionH>
            <wp:positionV relativeFrom="paragraph">
              <wp:posOffset>54610</wp:posOffset>
            </wp:positionV>
            <wp:extent cx="2322830"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2322830" cy="8255"/>
                    </a:xfrm>
                    <a:prstGeom prst="rect">
                      <a:avLst/>
                    </a:prstGeom>
                    <a:noFill/>
                  </pic:spPr>
                </pic:pic>
              </a:graphicData>
            </a:graphic>
          </wp:anchor>
        </w:drawing>
      </w:r>
    </w:p>
    <w:p>
      <w:pPr>
        <w:spacing w:after="0" w:line="124" w:lineRule="exact"/>
        <w:rPr>
          <w:sz w:val="20"/>
          <w:szCs w:val="20"/>
          <w:color w:val="auto"/>
        </w:rPr>
      </w:pPr>
    </w:p>
    <w:p>
      <w:pPr>
        <w:ind w:left="4320"/>
        <w:spacing w:after="0"/>
        <w:tabs>
          <w:tab w:leader="none" w:pos="5040" w:val="left"/>
        </w:tabs>
        <w:rPr>
          <w:sz w:val="20"/>
          <w:szCs w:val="20"/>
          <w:color w:val="auto"/>
        </w:rPr>
      </w:pPr>
      <w:r>
        <w:rPr>
          <w:rFonts w:ascii="Arial" w:cs="Arial" w:eastAsia="Arial" w:hAnsi="Arial"/>
          <w:sz w:val="18"/>
          <w:szCs w:val="18"/>
          <w:color w:val="auto"/>
        </w:rPr>
        <w:t>Name:</w:t>
        <w:tab/>
        <w:t>Cameron Letters</w:t>
      </w:r>
    </w:p>
    <w:p>
      <w:pPr>
        <w:spacing w:after="0" w:line="104" w:lineRule="exact"/>
        <w:rPr>
          <w:sz w:val="20"/>
          <w:szCs w:val="20"/>
          <w:color w:val="auto"/>
        </w:rPr>
      </w:pPr>
    </w:p>
    <w:p>
      <w:pPr>
        <w:ind w:left="4320"/>
        <w:spacing w:after="0"/>
        <w:tabs>
          <w:tab w:leader="none" w:pos="5040" w:val="left"/>
        </w:tabs>
        <w:rPr>
          <w:sz w:val="20"/>
          <w:szCs w:val="20"/>
          <w:color w:val="auto"/>
        </w:rPr>
      </w:pPr>
      <w:r>
        <w:rPr>
          <w:rFonts w:ascii="Arial" w:cs="Arial" w:eastAsia="Arial" w:hAnsi="Arial"/>
          <w:sz w:val="18"/>
          <w:szCs w:val="18"/>
          <w:color w:val="auto"/>
        </w:rPr>
        <w:t>Title:</w:t>
      </w:r>
      <w:r>
        <w:rPr>
          <w:sz w:val="20"/>
          <w:szCs w:val="20"/>
          <w:color w:val="auto"/>
        </w:rPr>
        <w:tab/>
      </w:r>
      <w:r>
        <w:rPr>
          <w:rFonts w:ascii="Arial" w:cs="Arial" w:eastAsia="Arial" w:hAnsi="Arial"/>
          <w:sz w:val="18"/>
          <w:szCs w:val="18"/>
          <w:color w:val="auto"/>
        </w:rPr>
        <w:t>General Manager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165735</wp:posOffset>
            </wp:positionV>
            <wp:extent cx="6995160" cy="171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36" w:right="1440" w:bottom="1440" w:gutter="0" w:footer="0" w:header="0"/>
        </w:sectPr>
      </w:pPr>
    </w:p>
    <w:bookmarkStart w:id="2" w:name="page3"/>
    <w:bookmarkEnd w:id="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276860</wp:posOffset>
            </wp:positionH>
            <wp:positionV relativeFrom="page">
              <wp:posOffset>328930</wp:posOffset>
            </wp:positionV>
            <wp:extent cx="6995160" cy="58807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995160" cy="58807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 w:name="page4"/>
    <w:bookmarkEnd w:id="3"/>
    <w:p>
      <w:pPr>
        <w:spacing w:after="0" w:line="24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1819910</wp:posOffset>
            </wp:positionH>
            <wp:positionV relativeFrom="page">
              <wp:posOffset>200660</wp:posOffset>
            </wp:positionV>
            <wp:extent cx="1371600" cy="6083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1371600" cy="608330"/>
                    </a:xfrm>
                    <a:prstGeom prst="rect">
                      <a:avLst/>
                    </a:prstGeom>
                    <a:noFill/>
                  </pic:spPr>
                </pic:pic>
              </a:graphicData>
            </a:graphic>
          </wp:anchor>
        </w:drawing>
      </w:r>
    </w:p>
    <w:p>
      <w:pPr>
        <w:jc w:val="center"/>
        <w:ind w:right="31"/>
        <w:spacing w:after="0"/>
        <w:rPr>
          <w:sz w:val="20"/>
          <w:szCs w:val="20"/>
          <w:color w:val="auto"/>
        </w:rPr>
      </w:pPr>
      <w:r>
        <w:rPr>
          <w:rFonts w:ascii="Arial" w:cs="Arial" w:eastAsia="Arial" w:hAnsi="Arial"/>
          <w:sz w:val="18"/>
          <w:szCs w:val="18"/>
          <w:b w:val="1"/>
          <w:bCs w:val="1"/>
          <w:color w:val="auto"/>
        </w:rPr>
        <w:t>Street address:</w:t>
      </w:r>
    </w:p>
    <w:p>
      <w:pPr>
        <w:spacing w:after="0" w:line="20" w:lineRule="exact"/>
        <w:rPr>
          <w:sz w:val="20"/>
          <w:szCs w:val="20"/>
          <w:color w:val="auto"/>
        </w:rPr>
      </w:pPr>
    </w:p>
    <w:p>
      <w:pPr>
        <w:jc w:val="center"/>
        <w:ind w:right="31"/>
        <w:spacing w:after="0" w:line="234" w:lineRule="auto"/>
        <w:rPr>
          <w:sz w:val="20"/>
          <w:szCs w:val="20"/>
          <w:color w:val="auto"/>
        </w:rPr>
      </w:pPr>
      <w:r>
        <w:rPr>
          <w:rFonts w:ascii="Arial" w:cs="Arial" w:eastAsia="Arial" w:hAnsi="Arial"/>
          <w:sz w:val="18"/>
          <w:szCs w:val="18"/>
          <w:b w:val="1"/>
          <w:bCs w:val="1"/>
          <w:color w:val="auto"/>
        </w:rPr>
        <w:t>Torre V, Business Park, Avenida La Rotonda, Urbanización Costa del Este</w:t>
      </w:r>
    </w:p>
    <w:p>
      <w:pPr>
        <w:spacing w:after="0" w:line="1" w:lineRule="exact"/>
        <w:rPr>
          <w:sz w:val="20"/>
          <w:szCs w:val="20"/>
          <w:color w:val="auto"/>
        </w:rPr>
      </w:pPr>
    </w:p>
    <w:p>
      <w:pPr>
        <w:ind w:left="1389" w:right="1280" w:hanging="184"/>
        <w:spacing w:after="0" w:line="284" w:lineRule="auto"/>
        <w:rPr>
          <w:sz w:val="20"/>
          <w:szCs w:val="20"/>
          <w:color w:val="auto"/>
        </w:rPr>
      </w:pPr>
      <w:r>
        <w:rPr>
          <w:rFonts w:ascii="Arial" w:cs="Arial" w:eastAsia="Arial" w:hAnsi="Arial"/>
          <w:sz w:val="17"/>
          <w:szCs w:val="17"/>
          <w:b w:val="1"/>
          <w:bCs w:val="1"/>
          <w:color w:val="auto"/>
        </w:rPr>
        <w:t>Mailing address: P.O. Box 0819-08730 Panama City, Republic of Panama</w:t>
      </w:r>
    </w:p>
    <w:p>
      <w:pPr>
        <w:spacing w:after="0" w:line="1" w:lineRule="exact"/>
        <w:rPr>
          <w:sz w:val="20"/>
          <w:szCs w:val="20"/>
          <w:color w:val="auto"/>
        </w:rPr>
      </w:pPr>
    </w:p>
    <w:p>
      <w:pPr>
        <w:jc w:val="right"/>
        <w:spacing w:after="0"/>
        <w:rPr>
          <w:sz w:val="20"/>
          <w:szCs w:val="20"/>
          <w:color w:val="auto"/>
        </w:rPr>
      </w:pPr>
      <w:r>
        <w:rPr>
          <w:rFonts w:ascii="Arial" w:cs="Arial" w:eastAsia="Arial" w:hAnsi="Arial"/>
          <w:sz w:val="18"/>
          <w:szCs w:val="18"/>
          <w:color w:val="auto"/>
        </w:rPr>
        <w:t>March 18, 2021</w:t>
      </w:r>
    </w:p>
    <w:p>
      <w:pPr>
        <w:spacing w:after="0" w:line="77" w:lineRule="exact"/>
        <w:rPr>
          <w:sz w:val="20"/>
          <w:szCs w:val="20"/>
          <w:color w:val="auto"/>
        </w:rPr>
      </w:pPr>
    </w:p>
    <w:p>
      <w:pPr>
        <w:ind w:left="9"/>
        <w:spacing w:after="0"/>
        <w:rPr>
          <w:sz w:val="20"/>
          <w:szCs w:val="20"/>
          <w:color w:val="auto"/>
        </w:rPr>
      </w:pPr>
      <w:r>
        <w:rPr>
          <w:rFonts w:ascii="Arial" w:cs="Arial" w:eastAsia="Arial" w:hAnsi="Arial"/>
          <w:sz w:val="18"/>
          <w:szCs w:val="18"/>
          <w:color w:val="auto"/>
        </w:rPr>
        <w:t>Dear Shareholder:</w:t>
      </w:r>
    </w:p>
    <w:p>
      <w:pPr>
        <w:spacing w:after="0" w:line="198" w:lineRule="exact"/>
        <w:rPr>
          <w:sz w:val="20"/>
          <w:szCs w:val="20"/>
          <w:color w:val="auto"/>
        </w:rPr>
      </w:pPr>
    </w:p>
    <w:p>
      <w:pPr>
        <w:ind w:left="9" w:right="140"/>
        <w:spacing w:after="0" w:line="245" w:lineRule="auto"/>
        <w:rPr>
          <w:sz w:val="20"/>
          <w:szCs w:val="20"/>
          <w:color w:val="auto"/>
        </w:rPr>
      </w:pPr>
      <w:r>
        <w:rPr>
          <w:rFonts w:ascii="Arial" w:cs="Arial" w:eastAsia="Arial" w:hAnsi="Arial"/>
          <w:sz w:val="18"/>
          <w:szCs w:val="18"/>
          <w:color w:val="auto"/>
        </w:rPr>
        <w:t>Banco Latinoamericano de Comercio Exterior, S.A. (Bladex) remains deeply committed to the health and well-being of our employees, their families and shareholders, as the world continues to battle the uncertainty and hardship brought by the coronavirus (COVID-19) on health and economies worldwide.</w:t>
      </w:r>
    </w:p>
    <w:p>
      <w:pPr>
        <w:spacing w:after="0" w:line="159" w:lineRule="exact"/>
        <w:rPr>
          <w:sz w:val="20"/>
          <w:szCs w:val="20"/>
          <w:color w:val="auto"/>
        </w:rPr>
      </w:pPr>
    </w:p>
    <w:p>
      <w:pPr>
        <w:ind w:left="9" w:right="40"/>
        <w:spacing w:after="0" w:line="243" w:lineRule="auto"/>
        <w:rPr>
          <w:sz w:val="20"/>
          <w:szCs w:val="20"/>
          <w:color w:val="auto"/>
        </w:rPr>
      </w:pPr>
      <w:r>
        <w:rPr>
          <w:rFonts w:ascii="Arial" w:cs="Arial" w:eastAsia="Arial" w:hAnsi="Arial"/>
          <w:sz w:val="18"/>
          <w:szCs w:val="18"/>
          <w:color w:val="auto"/>
        </w:rPr>
        <w:t>The Annual Meeting will be held virtually at 10:30 a.m. (Panama time) on April 21, 2021. You will be able to participate in the Annual Meeting, vote your shares electronically and submit your questions during the live webcast by visiting www.virtualshareholdermeeting.com/BLX2021 and entering your 16-digit control number found on the enclosed voting form.</w:t>
      </w:r>
    </w:p>
    <w:p>
      <w:pPr>
        <w:spacing w:after="0" w:line="160" w:lineRule="exact"/>
        <w:rPr>
          <w:sz w:val="20"/>
          <w:szCs w:val="20"/>
          <w:color w:val="auto"/>
        </w:rPr>
      </w:pPr>
    </w:p>
    <w:p>
      <w:pPr>
        <w:ind w:left="9"/>
        <w:spacing w:after="0"/>
        <w:rPr>
          <w:sz w:val="20"/>
          <w:szCs w:val="20"/>
          <w:color w:val="auto"/>
        </w:rPr>
      </w:pPr>
      <w:r>
        <w:rPr>
          <w:rFonts w:ascii="Arial" w:cs="Arial" w:eastAsia="Arial" w:hAnsi="Arial"/>
          <w:sz w:val="18"/>
          <w:szCs w:val="18"/>
          <w:color w:val="auto"/>
        </w:rPr>
        <w:t>At the Annual Meeting, the holders of the shares of all classes of the</w:t>
      </w:r>
    </w:p>
    <w:p>
      <w:pPr>
        <w:spacing w:after="0" w:line="18" w:lineRule="exact"/>
        <w:rPr>
          <w:sz w:val="20"/>
          <w:szCs w:val="20"/>
          <w:color w:val="auto"/>
        </w:rPr>
      </w:pPr>
    </w:p>
    <w:p>
      <w:pPr>
        <w:ind w:left="9"/>
        <w:spacing w:after="0"/>
        <w:rPr>
          <w:sz w:val="20"/>
          <w:szCs w:val="20"/>
          <w:color w:val="auto"/>
        </w:rPr>
      </w:pPr>
      <w:r>
        <w:rPr>
          <w:rFonts w:ascii="Arial" w:cs="Arial" w:eastAsia="Arial" w:hAnsi="Arial"/>
          <w:sz w:val="18"/>
          <w:szCs w:val="18"/>
          <w:color w:val="auto"/>
        </w:rPr>
        <w:t>Bank’s common stock will be asked to vote:</w:t>
      </w:r>
    </w:p>
    <w:p>
      <w:pPr>
        <w:spacing w:after="0" w:line="176" w:lineRule="exact"/>
        <w:rPr>
          <w:sz w:val="20"/>
          <w:szCs w:val="20"/>
          <w:color w:val="auto"/>
        </w:rPr>
      </w:pPr>
    </w:p>
    <w:p>
      <w:pPr>
        <w:ind w:left="349" w:right="20" w:hanging="349"/>
        <w:spacing w:after="0" w:line="276" w:lineRule="auto"/>
        <w:tabs>
          <w:tab w:leader="none" w:pos="344" w:val="left"/>
        </w:tabs>
        <w:numPr>
          <w:ilvl w:val="0"/>
          <w:numId w:val="1"/>
        </w:numPr>
        <w:rPr>
          <w:rFonts w:ascii="Arial" w:cs="Arial" w:eastAsia="Arial" w:hAnsi="Arial"/>
          <w:sz w:val="18"/>
          <w:szCs w:val="18"/>
          <w:color w:val="auto"/>
        </w:rPr>
      </w:pPr>
      <w:r>
        <w:rPr>
          <w:rFonts w:ascii="Arial" w:cs="Arial" w:eastAsia="Arial" w:hAnsi="Arial"/>
          <w:sz w:val="18"/>
          <w:szCs w:val="18"/>
          <w:color w:val="auto"/>
        </w:rPr>
        <w:t>to approve the Bank’s audited consolidated financial statements for the fiscal year ended December 31, 2020 (Proposal 1);</w:t>
      </w:r>
    </w:p>
    <w:p>
      <w:pPr>
        <w:spacing w:after="0" w:line="131" w:lineRule="exact"/>
        <w:rPr>
          <w:rFonts w:ascii="Arial" w:cs="Arial" w:eastAsia="Arial" w:hAnsi="Arial"/>
          <w:sz w:val="18"/>
          <w:szCs w:val="18"/>
          <w:color w:val="auto"/>
        </w:rPr>
      </w:pPr>
    </w:p>
    <w:p>
      <w:pPr>
        <w:ind w:left="9" w:right="700" w:hanging="9"/>
        <w:spacing w:after="0" w:line="247" w:lineRule="auto"/>
        <w:tabs>
          <w:tab w:leader="none" w:pos="349" w:val="left"/>
        </w:tabs>
        <w:numPr>
          <w:ilvl w:val="0"/>
          <w:numId w:val="1"/>
        </w:numPr>
        <w:rPr>
          <w:rFonts w:ascii="Arial" w:cs="Arial" w:eastAsia="Arial" w:hAnsi="Arial"/>
          <w:sz w:val="18"/>
          <w:szCs w:val="18"/>
          <w:color w:val="auto"/>
        </w:rPr>
      </w:pPr>
      <w:r>
        <w:rPr>
          <w:rFonts w:ascii="Arial" w:cs="Arial" w:eastAsia="Arial" w:hAnsi="Arial"/>
          <w:sz w:val="18"/>
          <w:szCs w:val="18"/>
          <w:color w:val="auto"/>
        </w:rPr>
        <w:t>to ratify the appointment of KPMG (“KPMG”) as the Bank’s independent registered</w:t>
      </w:r>
    </w:p>
    <w:p>
      <w:pPr>
        <w:ind w:left="9" w:right="420" w:firstLine="345"/>
        <w:spacing w:after="0" w:line="250" w:lineRule="auto"/>
        <w:rPr>
          <w:rFonts w:ascii="Arial" w:cs="Arial" w:eastAsia="Arial" w:hAnsi="Arial"/>
          <w:sz w:val="18"/>
          <w:szCs w:val="18"/>
          <w:color w:val="auto"/>
        </w:rPr>
      </w:pPr>
      <w:r>
        <w:rPr>
          <w:rFonts w:ascii="Arial" w:cs="Arial" w:eastAsia="Arial" w:hAnsi="Arial"/>
          <w:sz w:val="18"/>
          <w:szCs w:val="18"/>
          <w:color w:val="auto"/>
        </w:rPr>
        <w:t>public accounting firm for the fiscal year ending December 31, 2021 (Proposal 2);</w:t>
      </w:r>
    </w:p>
    <w:p>
      <w:pPr>
        <w:spacing w:after="0" w:line="154" w:lineRule="exact"/>
        <w:rPr>
          <w:rFonts w:ascii="Arial" w:cs="Arial" w:eastAsia="Arial" w:hAnsi="Arial"/>
          <w:sz w:val="18"/>
          <w:szCs w:val="18"/>
          <w:color w:val="auto"/>
        </w:rPr>
      </w:pPr>
    </w:p>
    <w:p>
      <w:pPr>
        <w:ind w:left="349" w:right="60" w:hanging="349"/>
        <w:spacing w:after="0" w:line="241" w:lineRule="auto"/>
        <w:tabs>
          <w:tab w:leader="none" w:pos="344" w:val="left"/>
        </w:tabs>
        <w:numPr>
          <w:ilvl w:val="0"/>
          <w:numId w:val="1"/>
        </w:numPr>
        <w:rPr>
          <w:rFonts w:ascii="Arial" w:cs="Arial" w:eastAsia="Arial" w:hAnsi="Arial"/>
          <w:sz w:val="18"/>
          <w:szCs w:val="18"/>
          <w:color w:val="auto"/>
        </w:rPr>
      </w:pPr>
      <w:r>
        <w:rPr>
          <w:rFonts w:ascii="Arial" w:cs="Arial" w:eastAsia="Arial" w:hAnsi="Arial"/>
          <w:sz w:val="18"/>
          <w:szCs w:val="18"/>
          <w:color w:val="auto"/>
        </w:rPr>
        <w:t>to elect three directors (one director to represent the holders of the Class E shares of the Bank’s common stock (“Class E Director”) and two directors to represent the holders of all classes of shares of the Bank’s common stock (“All Classes</w:t>
      </w:r>
    </w:p>
    <w:p>
      <w:pPr>
        <w:ind w:left="349"/>
        <w:spacing w:after="0"/>
        <w:rPr>
          <w:rFonts w:ascii="Arial" w:cs="Arial" w:eastAsia="Arial" w:hAnsi="Arial"/>
          <w:sz w:val="18"/>
          <w:szCs w:val="18"/>
          <w:color w:val="auto"/>
        </w:rPr>
      </w:pPr>
      <w:r>
        <w:rPr>
          <w:rFonts w:ascii="Arial" w:cs="Arial" w:eastAsia="Arial" w:hAnsi="Arial"/>
          <w:sz w:val="18"/>
          <w:szCs w:val="18"/>
          <w:color w:val="auto"/>
        </w:rPr>
        <w:t>Directors”)), each to serve a three-year term (Proposal 3);</w:t>
      </w:r>
    </w:p>
    <w:p>
      <w:pPr>
        <w:spacing w:after="0" w:line="176" w:lineRule="exact"/>
        <w:rPr>
          <w:rFonts w:ascii="Arial" w:cs="Arial" w:eastAsia="Arial" w:hAnsi="Arial"/>
          <w:sz w:val="18"/>
          <w:szCs w:val="18"/>
          <w:color w:val="auto"/>
        </w:rPr>
      </w:pPr>
    </w:p>
    <w:p>
      <w:pPr>
        <w:ind w:left="9" w:right="160" w:hanging="9"/>
        <w:spacing w:after="0" w:line="247" w:lineRule="auto"/>
        <w:tabs>
          <w:tab w:leader="none" w:pos="349" w:val="left"/>
        </w:tabs>
        <w:numPr>
          <w:ilvl w:val="0"/>
          <w:numId w:val="1"/>
        </w:numPr>
        <w:rPr>
          <w:rFonts w:ascii="Arial" w:cs="Arial" w:eastAsia="Arial" w:hAnsi="Arial"/>
          <w:sz w:val="18"/>
          <w:szCs w:val="18"/>
          <w:color w:val="auto"/>
        </w:rPr>
      </w:pPr>
      <w:r>
        <w:rPr>
          <w:rFonts w:ascii="Arial" w:cs="Arial" w:eastAsia="Arial" w:hAnsi="Arial"/>
          <w:sz w:val="18"/>
          <w:szCs w:val="18"/>
          <w:color w:val="auto"/>
        </w:rPr>
        <w:t>to approve, on an advisory basis, the compensation of the Bank’s executive officers</w:t>
      </w:r>
    </w:p>
    <w:p>
      <w:pPr>
        <w:ind w:left="349"/>
        <w:spacing w:after="0"/>
        <w:rPr>
          <w:rFonts w:ascii="Arial" w:cs="Arial" w:eastAsia="Arial" w:hAnsi="Arial"/>
          <w:sz w:val="18"/>
          <w:szCs w:val="18"/>
          <w:color w:val="auto"/>
        </w:rPr>
      </w:pPr>
      <w:r>
        <w:rPr>
          <w:rFonts w:ascii="Arial" w:cs="Arial" w:eastAsia="Arial" w:hAnsi="Arial"/>
          <w:sz w:val="18"/>
          <w:szCs w:val="18"/>
          <w:color w:val="auto"/>
        </w:rPr>
        <w:t>(Proposal 4); and</w:t>
      </w:r>
    </w:p>
    <w:p>
      <w:pPr>
        <w:spacing w:after="0" w:line="176" w:lineRule="exact"/>
        <w:rPr>
          <w:rFonts w:ascii="Arial" w:cs="Arial" w:eastAsia="Arial" w:hAnsi="Arial"/>
          <w:sz w:val="18"/>
          <w:szCs w:val="18"/>
          <w:color w:val="auto"/>
        </w:rPr>
      </w:pPr>
    </w:p>
    <w:p>
      <w:pPr>
        <w:ind w:left="9" w:right="180" w:hanging="9"/>
        <w:spacing w:after="0" w:line="276" w:lineRule="auto"/>
        <w:tabs>
          <w:tab w:leader="none" w:pos="349" w:val="left"/>
        </w:tabs>
        <w:numPr>
          <w:ilvl w:val="0"/>
          <w:numId w:val="1"/>
        </w:numPr>
        <w:rPr>
          <w:rFonts w:ascii="Arial" w:cs="Arial" w:eastAsia="Arial" w:hAnsi="Arial"/>
          <w:sz w:val="18"/>
          <w:szCs w:val="18"/>
          <w:color w:val="auto"/>
        </w:rPr>
      </w:pPr>
      <w:r>
        <w:rPr>
          <w:rFonts w:ascii="Arial" w:cs="Arial" w:eastAsia="Arial" w:hAnsi="Arial"/>
          <w:sz w:val="18"/>
          <w:szCs w:val="18"/>
          <w:color w:val="auto"/>
        </w:rPr>
        <w:t>to transact such other business as may properly come before the Annual Meeting.</w:t>
      </w:r>
    </w:p>
    <w:p>
      <w:pPr>
        <w:spacing w:after="0" w:line="131" w:lineRule="exact"/>
        <w:rPr>
          <w:sz w:val="20"/>
          <w:szCs w:val="20"/>
          <w:color w:val="auto"/>
        </w:rPr>
      </w:pPr>
    </w:p>
    <w:p>
      <w:pPr>
        <w:ind w:left="9" w:right="40"/>
        <w:spacing w:after="0"/>
        <w:rPr>
          <w:sz w:val="20"/>
          <w:szCs w:val="20"/>
          <w:color w:val="auto"/>
        </w:rPr>
      </w:pPr>
      <w:r>
        <w:rPr>
          <w:rFonts w:ascii="Arial" w:cs="Arial" w:eastAsia="Arial" w:hAnsi="Arial"/>
          <w:sz w:val="18"/>
          <w:szCs w:val="18"/>
          <w:color w:val="auto"/>
        </w:rPr>
        <w:t>Proposals 1, 2, 3 and 4 are more fully described in the attached Proxy Statement. Also attached are a Notice of the Annual Meeting and a proxy card. Copies of the Bank’s audited consolidated financial statements for the fiscal year ended December 31, 2020, may be obtained by writing to Mrs. Ana Graciela de Méndez at Torre V, Business Park, Avenida La Rotonda, Urbanización Costa del Este, P.O. Box 0819-08730, Panama City, Republic of Panama, or by visiting the “Investor Relations” section of the Bank’s website at https://www.bladex.com/en/investors.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-427990</wp:posOffset>
            </wp:positionH>
            <wp:positionV relativeFrom="paragraph">
              <wp:posOffset>143510</wp:posOffset>
            </wp:positionV>
            <wp:extent cx="6995160" cy="171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spacing w:after="0"/>
        <w:rPr>
          <w:sz w:val="20"/>
          <w:szCs w:val="20"/>
          <w:color w:val="auto"/>
        </w:rPr>
      </w:pPr>
      <w:r>
        <w:rPr>
          <w:rFonts w:ascii="Arial" w:cs="Arial" w:eastAsia="Arial" w:hAnsi="Arial"/>
          <w:sz w:val="29"/>
          <w:szCs w:val="29"/>
          <w:b w:val="1"/>
          <w:bCs w:val="1"/>
          <w:color w:val="0065C1"/>
        </w:rPr>
        <w:t>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-78105</wp:posOffset>
            </wp:positionH>
            <wp:positionV relativeFrom="paragraph">
              <wp:posOffset>-1828800</wp:posOffset>
            </wp:positionV>
            <wp:extent cx="2477135" cy="80321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2477135" cy="8032115"/>
                    </a:xfrm>
                    <a:prstGeom prst="rect">
                      <a:avLst/>
                    </a:prstGeom>
                    <a:noFill/>
                  </pic:spPr>
                </pic:pic>
              </a:graphicData>
            </a:graphic>
          </wp:anchor>
        </w:drawing>
      </w:r>
    </w:p>
    <w:p>
      <w:pPr>
        <w:spacing w:after="0" w:line="24" w:lineRule="exact"/>
        <w:rPr>
          <w:sz w:val="20"/>
          <w:szCs w:val="20"/>
          <w:color w:val="auto"/>
        </w:rPr>
      </w:pPr>
    </w:p>
    <w:p>
      <w:pPr>
        <w:spacing w:after="0"/>
        <w:rPr>
          <w:sz w:val="20"/>
          <w:szCs w:val="20"/>
          <w:color w:val="auto"/>
        </w:rPr>
      </w:pPr>
      <w:r>
        <w:rPr>
          <w:rFonts w:ascii="Arial" w:cs="Arial" w:eastAsia="Arial" w:hAnsi="Arial"/>
          <w:sz w:val="29"/>
          <w:szCs w:val="29"/>
          <w:b w:val="1"/>
          <w:bCs w:val="1"/>
          <w:color w:val="0065C1"/>
        </w:rPr>
        <w:t>Logistics</w:t>
      </w:r>
    </w:p>
    <w:p>
      <w:pPr>
        <w:spacing w:after="0" w:line="4" w:lineRule="exact"/>
        <w:rPr>
          <w:sz w:val="20"/>
          <w:szCs w:val="20"/>
          <w:color w:val="auto"/>
        </w:rPr>
      </w:pPr>
    </w:p>
    <w:p>
      <w:pPr>
        <w:spacing w:after="0"/>
        <w:rPr>
          <w:sz w:val="20"/>
          <w:szCs w:val="20"/>
          <w:color w:val="auto"/>
        </w:rPr>
      </w:pPr>
      <w:r>
        <w:rPr>
          <w:rFonts w:ascii="Arial" w:cs="Arial" w:eastAsia="Arial" w:hAnsi="Arial"/>
          <w:sz w:val="29"/>
          <w:szCs w:val="29"/>
          <w:b w:val="1"/>
          <w:bCs w:val="1"/>
          <w:color w:val="0065C1"/>
        </w:rPr>
        <w:t>At A Glance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spacing w:after="0"/>
        <w:rPr>
          <w:sz w:val="20"/>
          <w:szCs w:val="20"/>
          <w:color w:val="auto"/>
        </w:rPr>
      </w:pPr>
      <w:r>
        <w:rPr>
          <w:rFonts w:ascii="Arial" w:cs="Arial" w:eastAsia="Arial" w:hAnsi="Arial"/>
          <w:sz w:val="22"/>
          <w:szCs w:val="22"/>
          <w:b w:val="1"/>
          <w:bCs w:val="1"/>
          <w:color w:val="0065C1"/>
        </w:rPr>
        <w:t>DATE</w:t>
      </w:r>
    </w:p>
    <w:p>
      <w:pPr>
        <w:spacing w:after="0" w:line="58" w:lineRule="exact"/>
        <w:rPr>
          <w:sz w:val="20"/>
          <w:szCs w:val="20"/>
          <w:color w:val="auto"/>
        </w:rPr>
      </w:pPr>
    </w:p>
    <w:p>
      <w:pPr>
        <w:spacing w:after="0"/>
        <w:rPr>
          <w:sz w:val="20"/>
          <w:szCs w:val="20"/>
          <w:color w:val="auto"/>
        </w:rPr>
      </w:pPr>
      <w:r>
        <w:rPr>
          <w:rFonts w:ascii="Arial" w:cs="Arial" w:eastAsia="Arial" w:hAnsi="Arial"/>
          <w:sz w:val="18"/>
          <w:szCs w:val="18"/>
          <w:color w:val="auto"/>
        </w:rPr>
        <w:t>April 21, 2021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22"/>
          <w:szCs w:val="22"/>
          <w:b w:val="1"/>
          <w:bCs w:val="1"/>
          <w:color w:val="0065C1"/>
        </w:rPr>
        <w:t>TIME</w:t>
      </w:r>
    </w:p>
    <w:p>
      <w:pPr>
        <w:spacing w:after="0" w:line="58" w:lineRule="exact"/>
        <w:rPr>
          <w:sz w:val="20"/>
          <w:szCs w:val="20"/>
          <w:color w:val="auto"/>
        </w:rPr>
      </w:pPr>
    </w:p>
    <w:p>
      <w:pPr>
        <w:spacing w:after="0"/>
        <w:rPr>
          <w:sz w:val="20"/>
          <w:szCs w:val="20"/>
          <w:color w:val="auto"/>
        </w:rPr>
      </w:pPr>
      <w:r>
        <w:rPr>
          <w:rFonts w:ascii="Arial" w:cs="Arial" w:eastAsia="Arial" w:hAnsi="Arial"/>
          <w:sz w:val="18"/>
          <w:szCs w:val="18"/>
          <w:color w:val="auto"/>
        </w:rPr>
        <w:t>10:30 a.m. (Panama Time)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right="720"/>
        <w:spacing w:after="0" w:line="262" w:lineRule="auto"/>
        <w:rPr>
          <w:sz w:val="20"/>
          <w:szCs w:val="20"/>
          <w:color w:val="auto"/>
        </w:rPr>
      </w:pPr>
      <w:r>
        <w:rPr>
          <w:rFonts w:ascii="Arial" w:cs="Arial" w:eastAsia="Arial" w:hAnsi="Arial"/>
          <w:sz w:val="22"/>
          <w:szCs w:val="22"/>
          <w:b w:val="1"/>
          <w:bCs w:val="1"/>
          <w:color w:val="0065C1"/>
        </w:rPr>
        <w:t>VIRTUAL MEETING WEBSITE ADDRESS</w:t>
      </w:r>
    </w:p>
    <w:p>
      <w:pPr>
        <w:spacing w:after="0" w:line="1" w:lineRule="exact"/>
        <w:rPr>
          <w:sz w:val="20"/>
          <w:szCs w:val="20"/>
          <w:color w:val="auto"/>
        </w:rPr>
      </w:pPr>
    </w:p>
    <w:p>
      <w:pPr>
        <w:spacing w:after="0"/>
        <w:rPr>
          <w:sz w:val="20"/>
          <w:szCs w:val="20"/>
          <w:color w:val="auto"/>
        </w:rPr>
      </w:pPr>
      <w:r>
        <w:rPr>
          <w:rFonts w:ascii="Arial" w:cs="Arial" w:eastAsia="Arial" w:hAnsi="Arial"/>
          <w:sz w:val="17"/>
          <w:szCs w:val="17"/>
          <w:color w:val="auto"/>
        </w:rPr>
        <w:t>www.virtualshareholder-meeting.com/BLX2021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spacing w:after="0"/>
        <w:rPr>
          <w:sz w:val="20"/>
          <w:szCs w:val="20"/>
          <w:color w:val="auto"/>
        </w:rPr>
      </w:pPr>
      <w:r>
        <w:rPr>
          <w:rFonts w:ascii="Arial" w:cs="Arial" w:eastAsia="Arial" w:hAnsi="Arial"/>
          <w:sz w:val="22"/>
          <w:szCs w:val="22"/>
          <w:b w:val="1"/>
          <w:bCs w:val="1"/>
          <w:color w:val="0065C1"/>
        </w:rPr>
        <w:t>RECORD DATE</w:t>
      </w:r>
    </w:p>
    <w:p>
      <w:pPr>
        <w:spacing w:after="0" w:line="58" w:lineRule="exact"/>
        <w:rPr>
          <w:sz w:val="20"/>
          <w:szCs w:val="20"/>
          <w:color w:val="auto"/>
        </w:rPr>
      </w:pPr>
    </w:p>
    <w:p>
      <w:pPr>
        <w:spacing w:after="0"/>
        <w:rPr>
          <w:sz w:val="20"/>
          <w:szCs w:val="20"/>
          <w:color w:val="auto"/>
        </w:rPr>
      </w:pPr>
      <w:r>
        <w:rPr>
          <w:rFonts w:ascii="Arial" w:cs="Arial" w:eastAsia="Arial" w:hAnsi="Arial"/>
          <w:sz w:val="18"/>
          <w:szCs w:val="18"/>
          <w:color w:val="auto"/>
        </w:rPr>
        <w:t>March 15, 2021</w:t>
      </w:r>
    </w:p>
    <w:p>
      <w:pPr>
        <w:sectPr>
          <w:pgSz w:w="11900" w:h="16838" w:orient="portrait"/>
          <w:cols w:equalWidth="0" w:num="2">
            <w:col w:w="5689" w:space="240"/>
            <w:col w:w="3740"/>
          </w:cols>
          <w:pgMar w:left="1111" w:top="1440" w:right="1119" w:bottom="1440" w:gutter="0" w:footer="0" w:header="0"/>
        </w:sectPr>
      </w:pPr>
    </w:p>
    <w:bookmarkStart w:id="4" w:name="page5"/>
    <w:bookmarkEnd w:id="4"/>
    <w:p>
      <w:pPr>
        <w:jc w:val="both"/>
        <w:spacing w:after="0" w:line="241" w:lineRule="auto"/>
        <w:rPr>
          <w:sz w:val="20"/>
          <w:szCs w:val="20"/>
          <w:color w:val="auto"/>
        </w:rPr>
      </w:pPr>
      <w:r>
        <w:rPr>
          <w:rFonts w:ascii="Arial" w:cs="Arial" w:eastAsia="Arial" w:hAnsi="Arial"/>
          <w:sz w:val="18"/>
          <w:szCs w:val="18"/>
          <w:b w:val="1"/>
          <w:bCs w:val="1"/>
          <w:color w:val="auto"/>
        </w:rPr>
        <w:t xml:space="preserve">Important notice to beneficial shareholders of Class E shares who hold their shares through a broker rather than directly in their own name: </w:t>
      </w:r>
      <w:r>
        <w:rPr>
          <w:rFonts w:ascii="Arial" w:cs="Arial" w:eastAsia="Arial" w:hAnsi="Arial"/>
          <w:sz w:val="18"/>
          <w:szCs w:val="18"/>
          <w:color w:val="auto"/>
        </w:rPr>
        <w:t>In accordance with the New York Stock Exchange (“NYSE”) rules, your broker will</w:t>
      </w:r>
      <w:r>
        <w:rPr>
          <w:rFonts w:ascii="Arial" w:cs="Arial" w:eastAsia="Arial" w:hAnsi="Arial"/>
          <w:sz w:val="18"/>
          <w:szCs w:val="18"/>
          <w:b w:val="1"/>
          <w:bCs w:val="1"/>
          <w:color w:val="auto"/>
        </w:rPr>
        <w:t xml:space="preserve"> </w:t>
      </w:r>
      <w:r>
        <w:rPr>
          <w:rFonts w:ascii="Arial" w:cs="Arial" w:eastAsia="Arial" w:hAnsi="Arial"/>
          <w:sz w:val="18"/>
          <w:szCs w:val="18"/>
          <w:color w:val="auto"/>
        </w:rPr>
        <w:t>not be able to vote your shares with respect to any non-routine matters (including the election of directors) if you have not given your broker specific instructions to do so. There are two routine matters to be voted on at the Annual Meeting: the approval of the audited consolidated financial statements for the fiscal year ended December 31, 2020 and the ratification of the appointment of our independent registered public accounting firm for the fiscal year ending December 31, 2021. The election of directors and the advisory vote on executive compensation are matters considered non-routine under applicable rules.</w:t>
      </w:r>
    </w:p>
    <w:p>
      <w:pPr>
        <w:spacing w:after="0" w:line="108" w:lineRule="exact"/>
        <w:rPr>
          <w:sz w:val="20"/>
          <w:szCs w:val="20"/>
          <w:color w:val="auto"/>
        </w:rPr>
      </w:pPr>
    </w:p>
    <w:p>
      <w:pPr>
        <w:jc w:val="both"/>
        <w:spacing w:after="0" w:line="248" w:lineRule="auto"/>
        <w:rPr>
          <w:sz w:val="20"/>
          <w:szCs w:val="20"/>
          <w:color w:val="auto"/>
        </w:rPr>
      </w:pPr>
      <w:r>
        <w:rPr>
          <w:rFonts w:ascii="Arial" w:cs="Arial" w:eastAsia="Arial" w:hAnsi="Arial"/>
          <w:sz w:val="18"/>
          <w:szCs w:val="18"/>
          <w:color w:val="auto"/>
        </w:rPr>
        <w:t>A broker or other nominee cannot vote without instructions from the beneficial owner on non-routine matters, and therefore broker non-votes may exist in connection with such proposals. Most of our outstanding shares are held in this manner, so it is important that you submit a vote. We strongly encourage all shareholders to vote. Please vote as soon as possible, even if you plan to attend the Annual Meeting in person.</w:t>
      </w:r>
    </w:p>
    <w:p>
      <w:pPr>
        <w:spacing w:after="0" w:line="89" w:lineRule="exact"/>
        <w:rPr>
          <w:sz w:val="20"/>
          <w:szCs w:val="20"/>
          <w:color w:val="auto"/>
        </w:rPr>
      </w:pPr>
    </w:p>
    <w:p>
      <w:pPr>
        <w:jc w:val="both"/>
        <w:spacing w:after="0" w:line="245" w:lineRule="auto"/>
        <w:rPr>
          <w:sz w:val="20"/>
          <w:szCs w:val="20"/>
          <w:color w:val="auto"/>
        </w:rPr>
      </w:pPr>
      <w:r>
        <w:rPr>
          <w:rFonts w:ascii="Arial" w:cs="Arial" w:eastAsia="Arial" w:hAnsi="Arial"/>
          <w:sz w:val="18"/>
          <w:szCs w:val="18"/>
          <w:color w:val="auto"/>
        </w:rPr>
        <w:t>To ensure that you are properly represented at the Annual Meeting as a shareholder, we ask that you please read and complete the enclosed materials promptly, and that you duly sign and date the proxy card with your vote. All shareholders shall have the option to use the Internet, telephone, or mail to vote their proxy in accordance with the instructions provided in their proxy cards. Should you attend the Annual Meeting in person, you will be able to vote in person if you so desire, regardless of whether you sent a proxy card.</w:t>
      </w:r>
    </w:p>
    <w:p>
      <w:pPr>
        <w:spacing w:after="0" w:line="103" w:lineRule="exact"/>
        <w:rPr>
          <w:sz w:val="20"/>
          <w:szCs w:val="20"/>
          <w:color w:val="auto"/>
        </w:rPr>
      </w:pPr>
    </w:p>
    <w:p>
      <w:pPr>
        <w:jc w:val="both"/>
        <w:spacing w:after="0" w:line="278" w:lineRule="auto"/>
        <w:rPr>
          <w:sz w:val="20"/>
          <w:szCs w:val="20"/>
          <w:color w:val="auto"/>
        </w:rPr>
      </w:pPr>
      <w:r>
        <w:rPr>
          <w:rFonts w:ascii="Arial" w:cs="Arial" w:eastAsia="Arial" w:hAnsi="Arial"/>
          <w:sz w:val="18"/>
          <w:szCs w:val="18"/>
          <w:color w:val="auto"/>
        </w:rPr>
        <w:t xml:space="preserve">The Board of Directors of the Bank (the “Board”) recommends that you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the proposals as set forth in the proxy card. Your vote and support are important to the Bank.</w:t>
      </w:r>
    </w:p>
    <w:p>
      <w:pPr>
        <w:spacing w:after="0" w:line="76" w:lineRule="exact"/>
        <w:rPr>
          <w:sz w:val="20"/>
          <w:szCs w:val="20"/>
          <w:color w:val="auto"/>
        </w:rPr>
      </w:pPr>
    </w:p>
    <w:p>
      <w:pPr>
        <w:jc w:val="both"/>
        <w:spacing w:after="0" w:line="276" w:lineRule="auto"/>
        <w:rPr>
          <w:sz w:val="20"/>
          <w:szCs w:val="20"/>
          <w:color w:val="auto"/>
        </w:rPr>
      </w:pPr>
      <w:r>
        <w:rPr>
          <w:rFonts w:ascii="Arial" w:cs="Arial" w:eastAsia="Arial" w:hAnsi="Arial"/>
          <w:sz w:val="18"/>
          <w:szCs w:val="18"/>
          <w:color w:val="auto"/>
        </w:rPr>
        <w:t>On behalf of the Board, we thank you for your cooperation and continued support, and look forward to your attendance at the virtual Annual Meeting on Wednesday, April 21, 2021.</w:t>
      </w:r>
    </w:p>
    <w:p>
      <w:pPr>
        <w:spacing w:after="0" w:line="104" w:lineRule="exact"/>
        <w:rPr>
          <w:sz w:val="20"/>
          <w:szCs w:val="20"/>
          <w:color w:val="auto"/>
        </w:rPr>
      </w:pPr>
    </w:p>
    <w:p>
      <w:pPr>
        <w:ind w:left="5040"/>
        <w:spacing w:after="0"/>
        <w:rPr>
          <w:sz w:val="20"/>
          <w:szCs w:val="20"/>
          <w:color w:val="auto"/>
        </w:rPr>
      </w:pPr>
      <w:r>
        <w:rPr>
          <w:rFonts w:ascii="Arial" w:cs="Arial" w:eastAsia="Arial" w:hAnsi="Arial"/>
          <w:sz w:val="18"/>
          <w:szCs w:val="18"/>
          <w:color w:val="auto"/>
        </w:rPr>
        <w:t>Sincerely,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3197225</wp:posOffset>
            </wp:positionH>
            <wp:positionV relativeFrom="paragraph">
              <wp:posOffset>397510</wp:posOffset>
            </wp:positionV>
            <wp:extent cx="1774190" cy="9683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1774190" cy="9683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5040"/>
        <w:spacing w:after="0"/>
        <w:rPr>
          <w:sz w:val="20"/>
          <w:szCs w:val="20"/>
          <w:color w:val="auto"/>
        </w:rPr>
      </w:pPr>
      <w:r>
        <w:rPr>
          <w:rFonts w:ascii="Arial" w:cs="Arial" w:eastAsia="Arial" w:hAnsi="Arial"/>
          <w:sz w:val="18"/>
          <w:szCs w:val="18"/>
          <w:color w:val="auto"/>
        </w:rPr>
        <w:t>Jorge Luis Real</w:t>
      </w:r>
    </w:p>
    <w:p>
      <w:pPr>
        <w:spacing w:after="0" w:line="18" w:lineRule="exact"/>
        <w:rPr>
          <w:sz w:val="20"/>
          <w:szCs w:val="20"/>
          <w:color w:val="auto"/>
        </w:rPr>
      </w:pPr>
    </w:p>
    <w:p>
      <w:pPr>
        <w:ind w:left="5040"/>
        <w:spacing w:after="0"/>
        <w:rPr>
          <w:sz w:val="20"/>
          <w:szCs w:val="20"/>
          <w:color w:val="auto"/>
        </w:rPr>
      </w:pPr>
      <w:r>
        <w:rPr>
          <w:rFonts w:ascii="Arial" w:cs="Arial" w:eastAsia="Arial" w:hAnsi="Arial"/>
          <w:sz w:val="18"/>
          <w:szCs w:val="18"/>
          <w:color w:val="auto"/>
        </w:rPr>
        <w:t>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-548005</wp:posOffset>
            </wp:positionH>
            <wp:positionV relativeFrom="paragraph">
              <wp:posOffset>117475</wp:posOffset>
            </wp:positionV>
            <wp:extent cx="6995160" cy="171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280"/>
          </w:cols>
          <w:pgMar w:left="1300" w:top="236" w:right="1319" w:bottom="1440" w:gutter="0" w:footer="0" w:header="0"/>
        </w:sectPr>
      </w:pPr>
    </w:p>
    <w:bookmarkStart w:id="5" w:name="page6"/>
    <w:bookmarkEnd w:id="5"/>
    <w:p>
      <w:pPr>
        <w:spacing w:after="0" w:line="11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3225800</wp:posOffset>
            </wp:positionH>
            <wp:positionV relativeFrom="page">
              <wp:posOffset>165735</wp:posOffset>
            </wp:positionV>
            <wp:extent cx="1097280" cy="4889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1097280" cy="488950"/>
                    </a:xfrm>
                    <a:prstGeom prst="rect">
                      <a:avLst/>
                    </a:prstGeom>
                    <a:noFill/>
                  </pic:spPr>
                </pic:pic>
              </a:graphicData>
            </a:graphic>
          </wp:anchor>
        </w:drawing>
      </w:r>
    </w:p>
    <w:p>
      <w:pPr>
        <w:ind w:left="80" w:right="799"/>
        <w:spacing w:after="0" w:line="296" w:lineRule="auto"/>
        <w:rPr>
          <w:sz w:val="20"/>
          <w:szCs w:val="20"/>
          <w:color w:val="auto"/>
        </w:rPr>
      </w:pPr>
      <w:r>
        <w:rPr>
          <w:rFonts w:ascii="Arial" w:cs="Arial" w:eastAsia="Arial" w:hAnsi="Arial"/>
          <w:sz w:val="32"/>
          <w:szCs w:val="32"/>
          <w:b w:val="1"/>
          <w:bCs w:val="1"/>
          <w:color w:val="auto"/>
        </w:rPr>
        <w:t>NOTICE OF ANNUAL MEETING OF SHAREHOLDERS TO BE HELD ON APRIL 21, 2021</w:t>
      </w:r>
    </w:p>
    <w:p>
      <w:pPr>
        <w:spacing w:after="0" w:line="3"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NOTICE IS HEREBY GIVEN to all holders of the issued and outstanding shares of common stock of Banco Latinoamericano de Comercio Exterior, S.A., a banking institution incorporated in accordance with the laws of the Republic of Panama (hereinafter called the “Bank”), as of the record date set forth below, that the 2021 Annual Meeting of Shareholders (such meeting, including any postponements or adjournments thereof, hereinafter referred to as the “Annual Meeting”) of the Bank will be held virtually via live webcast at www.virtualshareholdermeeting.com/BLX2021 on Wednesday, April 21, 2021 at 10:30 a.m. (Panama time). Shareholders who participate in the Annual Meeting by way of the link above will be deemed to be “present in person,” as such term is used in this Proxy Statement, including for purposes of determining a quorum and counting votes.</w:t>
      </w:r>
    </w:p>
    <w:p>
      <w:pPr>
        <w:spacing w:after="0" w:line="149" w:lineRule="exact"/>
        <w:rPr>
          <w:sz w:val="20"/>
          <w:szCs w:val="20"/>
          <w:color w:val="auto"/>
        </w:rPr>
      </w:pPr>
    </w:p>
    <w:p>
      <w:pPr>
        <w:ind w:left="80"/>
        <w:spacing w:after="0"/>
        <w:rPr>
          <w:sz w:val="20"/>
          <w:szCs w:val="20"/>
          <w:color w:val="auto"/>
        </w:rPr>
      </w:pPr>
      <w:r>
        <w:rPr>
          <w:rFonts w:ascii="Arial" w:cs="Arial" w:eastAsia="Arial" w:hAnsi="Arial"/>
          <w:sz w:val="18"/>
          <w:szCs w:val="18"/>
          <w:color w:val="auto"/>
        </w:rPr>
        <w:t>The Annual Meeting will be held for the following purposes:</w:t>
      </w:r>
    </w:p>
    <w:p>
      <w:pPr>
        <w:spacing w:after="0" w:line="131" w:lineRule="exact"/>
        <w:rPr>
          <w:sz w:val="20"/>
          <w:szCs w:val="20"/>
          <w:color w:val="auto"/>
        </w:rPr>
      </w:pPr>
    </w:p>
    <w:p>
      <w:pPr>
        <w:ind w:left="780" w:right="99" w:hanging="344"/>
        <w:spacing w:after="0" w:line="276" w:lineRule="auto"/>
        <w:tabs>
          <w:tab w:leader="none" w:pos="780" w:val="left"/>
        </w:tabs>
        <w:numPr>
          <w:ilvl w:val="0"/>
          <w:numId w:val="2"/>
        </w:numPr>
        <w:rPr>
          <w:rFonts w:ascii="Arial" w:cs="Arial" w:eastAsia="Arial" w:hAnsi="Arial"/>
          <w:sz w:val="18"/>
          <w:szCs w:val="18"/>
          <w:color w:val="auto"/>
        </w:rPr>
      </w:pPr>
      <w:r>
        <w:rPr>
          <w:rFonts w:ascii="Arial" w:cs="Arial" w:eastAsia="Arial" w:hAnsi="Arial"/>
          <w:sz w:val="18"/>
          <w:szCs w:val="18"/>
          <w:color w:val="auto"/>
        </w:rPr>
        <w:t>to approve the Bank’s audited consolidated financial statements for the fiscal year ended December 31, 2020 (Proposal 1);</w:t>
      </w:r>
    </w:p>
    <w:p>
      <w:pPr>
        <w:spacing w:after="0" w:line="77" w:lineRule="exact"/>
        <w:rPr>
          <w:rFonts w:ascii="Arial" w:cs="Arial" w:eastAsia="Arial" w:hAnsi="Arial"/>
          <w:sz w:val="18"/>
          <w:szCs w:val="18"/>
          <w:color w:val="auto"/>
        </w:rPr>
      </w:pPr>
    </w:p>
    <w:p>
      <w:pPr>
        <w:ind w:left="780" w:right="99" w:hanging="344"/>
        <w:spacing w:after="0" w:line="276" w:lineRule="auto"/>
        <w:tabs>
          <w:tab w:leader="none" w:pos="780" w:val="left"/>
        </w:tabs>
        <w:numPr>
          <w:ilvl w:val="0"/>
          <w:numId w:val="2"/>
        </w:numPr>
        <w:rPr>
          <w:rFonts w:ascii="Arial" w:cs="Arial" w:eastAsia="Arial" w:hAnsi="Arial"/>
          <w:sz w:val="18"/>
          <w:szCs w:val="18"/>
          <w:color w:val="auto"/>
        </w:rPr>
      </w:pPr>
      <w:r>
        <w:rPr>
          <w:rFonts w:ascii="Arial" w:cs="Arial" w:eastAsia="Arial" w:hAnsi="Arial"/>
          <w:sz w:val="18"/>
          <w:szCs w:val="18"/>
          <w:color w:val="auto"/>
        </w:rPr>
        <w:t>to ratify the appointment of KPMG (“KPMG”) as the Bank’s independent registered public accounting firm for the fiscal year ending December 31, 2021 (Proposal 2);</w:t>
      </w:r>
    </w:p>
    <w:p>
      <w:pPr>
        <w:spacing w:after="0" w:line="77" w:lineRule="exact"/>
        <w:rPr>
          <w:rFonts w:ascii="Arial" w:cs="Arial" w:eastAsia="Arial" w:hAnsi="Arial"/>
          <w:sz w:val="18"/>
          <w:szCs w:val="18"/>
          <w:color w:val="auto"/>
        </w:rPr>
      </w:pPr>
    </w:p>
    <w:p>
      <w:pPr>
        <w:jc w:val="both"/>
        <w:ind w:left="780" w:right="99" w:hanging="344"/>
        <w:spacing w:after="0" w:line="255" w:lineRule="auto"/>
        <w:tabs>
          <w:tab w:leader="none" w:pos="780" w:val="left"/>
        </w:tabs>
        <w:numPr>
          <w:ilvl w:val="0"/>
          <w:numId w:val="2"/>
        </w:numPr>
        <w:rPr>
          <w:rFonts w:ascii="Arial" w:cs="Arial" w:eastAsia="Arial" w:hAnsi="Arial"/>
          <w:sz w:val="18"/>
          <w:szCs w:val="18"/>
          <w:color w:val="auto"/>
        </w:rPr>
      </w:pPr>
      <w:r>
        <w:rPr>
          <w:rFonts w:ascii="Arial" w:cs="Arial" w:eastAsia="Arial" w:hAnsi="Arial"/>
          <w:sz w:val="18"/>
          <w:szCs w:val="18"/>
          <w:color w:val="auto"/>
        </w:rPr>
        <w:t>to elect three directors (one director to represent the holders of the Class E shares of the Bank’s common stock ((“Class E Director”) and two directors to represent the holders of all classes of shares of the Bank’s common stock (“All Classes Directors”)), each to serve a three-year term (Proposal 3);</w:t>
      </w:r>
    </w:p>
    <w:p>
      <w:pPr>
        <w:spacing w:after="0" w:line="82" w:lineRule="exact"/>
        <w:rPr>
          <w:rFonts w:ascii="Arial" w:cs="Arial" w:eastAsia="Arial" w:hAnsi="Arial"/>
          <w:sz w:val="18"/>
          <w:szCs w:val="18"/>
          <w:color w:val="auto"/>
        </w:rPr>
      </w:pPr>
    </w:p>
    <w:p>
      <w:pPr>
        <w:ind w:left="780" w:hanging="344"/>
        <w:spacing w:after="0"/>
        <w:tabs>
          <w:tab w:leader="none" w:pos="780" w:val="left"/>
        </w:tabs>
        <w:numPr>
          <w:ilvl w:val="0"/>
          <w:numId w:val="2"/>
        </w:numPr>
        <w:rPr>
          <w:rFonts w:ascii="Arial" w:cs="Arial" w:eastAsia="Arial" w:hAnsi="Arial"/>
          <w:sz w:val="18"/>
          <w:szCs w:val="18"/>
          <w:color w:val="auto"/>
        </w:rPr>
      </w:pPr>
      <w:r>
        <w:rPr>
          <w:rFonts w:ascii="Arial" w:cs="Arial" w:eastAsia="Arial" w:hAnsi="Arial"/>
          <w:sz w:val="18"/>
          <w:szCs w:val="18"/>
          <w:color w:val="auto"/>
        </w:rPr>
        <w:t>to approve, on an advisory basis, the compensation of the Bank’s executive officers (Proposal 4); and</w:t>
      </w:r>
    </w:p>
    <w:p>
      <w:pPr>
        <w:spacing w:after="0" w:line="144" w:lineRule="exact"/>
        <w:rPr>
          <w:rFonts w:ascii="Arial" w:cs="Arial" w:eastAsia="Arial" w:hAnsi="Arial"/>
          <w:sz w:val="18"/>
          <w:szCs w:val="18"/>
          <w:color w:val="auto"/>
        </w:rPr>
      </w:pPr>
    </w:p>
    <w:p>
      <w:pPr>
        <w:ind w:left="780" w:hanging="344"/>
        <w:spacing w:after="0"/>
        <w:tabs>
          <w:tab w:leader="none" w:pos="780" w:val="left"/>
        </w:tabs>
        <w:numPr>
          <w:ilvl w:val="0"/>
          <w:numId w:val="2"/>
        </w:numPr>
        <w:rPr>
          <w:rFonts w:ascii="Arial" w:cs="Arial" w:eastAsia="Arial" w:hAnsi="Arial"/>
          <w:sz w:val="18"/>
          <w:szCs w:val="18"/>
          <w:color w:val="auto"/>
        </w:rPr>
      </w:pPr>
      <w:r>
        <w:rPr>
          <w:rFonts w:ascii="Arial" w:cs="Arial" w:eastAsia="Arial" w:hAnsi="Arial"/>
          <w:sz w:val="18"/>
          <w:szCs w:val="18"/>
          <w:color w:val="auto"/>
        </w:rPr>
        <w:t>to transact such other business as may properly come before the Annual Meeting.</w:t>
      </w:r>
    </w:p>
    <w:p>
      <w:pPr>
        <w:spacing w:after="0" w:line="144" w:lineRule="exact"/>
        <w:rPr>
          <w:sz w:val="20"/>
          <w:szCs w:val="20"/>
          <w:color w:val="auto"/>
        </w:rPr>
      </w:pPr>
    </w:p>
    <w:p>
      <w:pPr>
        <w:jc w:val="both"/>
        <w:ind w:left="80" w:right="79"/>
        <w:spacing w:after="0" w:line="217" w:lineRule="auto"/>
        <w:rPr>
          <w:sz w:val="20"/>
          <w:szCs w:val="20"/>
          <w:color w:val="auto"/>
        </w:rPr>
      </w:pPr>
      <w:r>
        <w:rPr>
          <w:rFonts w:ascii="Arial" w:cs="Arial" w:eastAsia="Arial" w:hAnsi="Arial"/>
          <w:sz w:val="18"/>
          <w:szCs w:val="18"/>
          <w:color w:val="auto"/>
        </w:rPr>
        <w:t>The Board has fixed the close of business on March 15, 2021 as the record date for determining shareholders entitled to notice of, and to vote at, the Annual Meeting. The presence (in person or by proxy) of holders representing at least one half (</w:t>
      </w:r>
      <w:r>
        <w:rPr>
          <w:rFonts w:ascii="Arial" w:cs="Arial" w:eastAsia="Arial" w:hAnsi="Arial"/>
          <w:sz w:val="29"/>
          <w:szCs w:val="29"/>
          <w:color w:val="auto"/>
          <w:vertAlign w:val="superscript"/>
        </w:rPr>
        <w:t>1</w:t>
      </w:r>
      <w:r>
        <w:rPr>
          <w:rFonts w:ascii="Arial" w:cs="Arial" w:eastAsia="Arial" w:hAnsi="Arial"/>
          <w:sz w:val="18"/>
          <w:szCs w:val="18"/>
          <w:color w:val="auto"/>
        </w:rPr>
        <w:t>⁄</w:t>
      </w:r>
      <w:r>
        <w:rPr>
          <w:rFonts w:ascii="Arial" w:cs="Arial" w:eastAsia="Arial" w:hAnsi="Arial"/>
          <w:sz w:val="12"/>
          <w:szCs w:val="12"/>
          <w:color w:val="auto"/>
        </w:rPr>
        <w:t>2</w:t>
      </w:r>
      <w:r>
        <w:rPr>
          <w:rFonts w:ascii="Arial" w:cs="Arial" w:eastAsia="Arial" w:hAnsi="Arial"/>
          <w:sz w:val="18"/>
          <w:szCs w:val="18"/>
          <w:color w:val="auto"/>
        </w:rPr>
        <w:t>) of the total issued and outstanding shares of all classes of the Bank’s common stock, plus one additional share of the Bank’s common stock, is necessary to constitute a quorum at the Annual Meeting generally. In addition, the presence (in person or by proxy) of holders representing at least one half (</w:t>
      </w:r>
      <w:r>
        <w:rPr>
          <w:rFonts w:ascii="Arial" w:cs="Arial" w:eastAsia="Arial" w:hAnsi="Arial"/>
          <w:sz w:val="29"/>
          <w:szCs w:val="29"/>
          <w:color w:val="auto"/>
          <w:vertAlign w:val="superscript"/>
        </w:rPr>
        <w:t>1</w:t>
      </w:r>
      <w:r>
        <w:rPr>
          <w:rFonts w:ascii="Arial" w:cs="Arial" w:eastAsia="Arial" w:hAnsi="Arial"/>
          <w:sz w:val="18"/>
          <w:szCs w:val="18"/>
          <w:color w:val="auto"/>
        </w:rPr>
        <w:t>⁄</w:t>
      </w:r>
      <w:r>
        <w:rPr>
          <w:rFonts w:ascii="Arial" w:cs="Arial" w:eastAsia="Arial" w:hAnsi="Arial"/>
          <w:sz w:val="12"/>
          <w:szCs w:val="12"/>
          <w:color w:val="auto"/>
        </w:rPr>
        <w:t>2</w:t>
      </w:r>
      <w:r>
        <w:rPr>
          <w:rFonts w:ascii="Arial" w:cs="Arial" w:eastAsia="Arial" w:hAnsi="Arial"/>
          <w:sz w:val="18"/>
          <w:szCs w:val="18"/>
          <w:color w:val="auto"/>
        </w:rPr>
        <w:t>) of the issued and outstanding shares of each class of the Bank’s common stock electing directors at the Annual Meeting, plus one additional share, of each such class is necessary to constitute a quorum at the Annual Meeting for the purpose of electing directors of such class. If a quorum is not attained at the Annual Meeting scheduled to be held on Wednesday, April 21, 2021, at 10:30 a.m. (Panama time), then a second meeting will be held at 10:30 a.m. (Panama time) on Thursday, April 22, 2021, at the same location. At such second meeting, a quorum at the Annual Meeting generally will be constituted by the shareholders present (in person or by proxy) at such meeting; and for the purpose of electing directors, a quorum will be constituted by the shareholders of each separate class of shares present (in person or by proxy) at such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107315</wp:posOffset>
            </wp:positionV>
            <wp:extent cx="6995160" cy="171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1440" w:right="1440" w:bottom="1440" w:gutter="0" w:footer="0" w:header="0"/>
        </w:sectPr>
      </w:pPr>
    </w:p>
    <w:bookmarkStart w:id="6" w:name="page7"/>
    <w:bookmarkEnd w:id="6"/>
    <w:p>
      <w:pPr>
        <w:jc w:val="both"/>
        <w:ind w:left="80" w:right="99"/>
        <w:spacing w:after="0" w:line="245" w:lineRule="auto"/>
        <w:rPr>
          <w:sz w:val="20"/>
          <w:szCs w:val="20"/>
          <w:color w:val="auto"/>
        </w:rPr>
      </w:pPr>
      <w:r>
        <w:rPr>
          <w:rFonts w:ascii="Arial" w:cs="Arial" w:eastAsia="Arial" w:hAnsi="Arial"/>
          <w:sz w:val="18"/>
          <w:szCs w:val="18"/>
          <w:color w:val="auto"/>
        </w:rPr>
        <w:t>Shareholders are requested to complete, date and sign the enclosed proxy card and return it promptly in the envelope provided, even if they expect to attend the Annual Meeting in person. Shareholders shall have the option to use the Internet, telephone or mail to vote their proxy in accordance with the instructions provided in their proxy cards. If shareholders attend the Annual Meeting, they may revoke their proxies and vote in person if they so desire, even if they have previously mailed their proxy cards.</w:t>
      </w:r>
    </w:p>
    <w:p>
      <w:pPr>
        <w:spacing w:after="0" w:line="105" w:lineRule="exact"/>
        <w:rPr>
          <w:sz w:val="20"/>
          <w:szCs w:val="20"/>
          <w:color w:val="auto"/>
        </w:rPr>
      </w:pPr>
    </w:p>
    <w:p>
      <w:pPr>
        <w:jc w:val="both"/>
        <w:ind w:left="80" w:right="99"/>
        <w:spacing w:after="0" w:line="276" w:lineRule="auto"/>
        <w:rPr>
          <w:sz w:val="20"/>
          <w:szCs w:val="20"/>
          <w:color w:val="auto"/>
        </w:rPr>
      </w:pPr>
      <w:r>
        <w:rPr>
          <w:rFonts w:ascii="Arial" w:cs="Arial" w:eastAsia="Arial" w:hAnsi="Arial"/>
          <w:sz w:val="18"/>
          <w:szCs w:val="18"/>
          <w:color w:val="auto"/>
        </w:rPr>
        <w:t>The enclosed proxy card is being solicited by the Board. Each Proposal and the instructions for voting, in person or by proxy, are more fully described in the attached Proxy Statement.</w:t>
      </w:r>
    </w:p>
    <w:p>
      <w:pPr>
        <w:spacing w:after="0" w:line="104" w:lineRule="exact"/>
        <w:rPr>
          <w:sz w:val="20"/>
          <w:szCs w:val="20"/>
          <w:color w:val="auto"/>
        </w:rPr>
      </w:pPr>
    </w:p>
    <w:p>
      <w:pPr>
        <w:ind w:left="5120"/>
        <w:spacing w:after="0"/>
        <w:rPr>
          <w:sz w:val="20"/>
          <w:szCs w:val="20"/>
          <w:color w:val="auto"/>
        </w:rPr>
      </w:pPr>
      <w:r>
        <w:rPr>
          <w:rFonts w:ascii="Arial" w:cs="Arial" w:eastAsia="Arial" w:hAnsi="Arial"/>
          <w:sz w:val="18"/>
          <w:szCs w:val="18"/>
          <w:color w:val="auto"/>
        </w:rPr>
        <w:t>By Order of the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3245485</wp:posOffset>
            </wp:positionH>
            <wp:positionV relativeFrom="paragraph">
              <wp:posOffset>397510</wp:posOffset>
            </wp:positionV>
            <wp:extent cx="1774825" cy="9690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774825" cy="9690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5120"/>
        <w:spacing w:after="0"/>
        <w:rPr>
          <w:sz w:val="20"/>
          <w:szCs w:val="20"/>
          <w:color w:val="auto"/>
        </w:rPr>
      </w:pPr>
      <w:r>
        <w:rPr>
          <w:rFonts w:ascii="Arial" w:cs="Arial" w:eastAsia="Arial" w:hAnsi="Arial"/>
          <w:sz w:val="18"/>
          <w:szCs w:val="18"/>
          <w:color w:val="auto"/>
        </w:rPr>
        <w:t>Jorge Luis Real</w:t>
      </w:r>
    </w:p>
    <w:p>
      <w:pPr>
        <w:spacing w:after="0" w:line="18" w:lineRule="exact"/>
        <w:rPr>
          <w:sz w:val="20"/>
          <w:szCs w:val="20"/>
          <w:color w:val="auto"/>
        </w:rPr>
      </w:pPr>
    </w:p>
    <w:p>
      <w:pPr>
        <w:ind w:left="5120"/>
        <w:spacing w:after="0"/>
        <w:rPr>
          <w:sz w:val="20"/>
          <w:szCs w:val="20"/>
          <w:color w:val="auto"/>
        </w:rPr>
      </w:pPr>
      <w:r>
        <w:rPr>
          <w:rFonts w:ascii="Arial" w:cs="Arial" w:eastAsia="Arial" w:hAnsi="Arial"/>
          <w:sz w:val="18"/>
          <w:szCs w:val="18"/>
          <w:color w:val="auto"/>
        </w:rPr>
        <w:t>Secretary</w:t>
      </w:r>
    </w:p>
    <w:p>
      <w:pPr>
        <w:spacing w:after="0" w:line="163" w:lineRule="exact"/>
        <w:rPr>
          <w:sz w:val="20"/>
          <w:szCs w:val="20"/>
          <w:color w:val="auto"/>
        </w:rPr>
      </w:pPr>
    </w:p>
    <w:p>
      <w:pPr>
        <w:ind w:left="80"/>
        <w:spacing w:after="0"/>
        <w:rPr>
          <w:sz w:val="20"/>
          <w:szCs w:val="20"/>
          <w:color w:val="auto"/>
        </w:rPr>
      </w:pPr>
      <w:r>
        <w:rPr>
          <w:rFonts w:ascii="Arial" w:cs="Arial" w:eastAsia="Arial" w:hAnsi="Arial"/>
          <w:sz w:val="18"/>
          <w:szCs w:val="18"/>
          <w:color w:val="auto"/>
        </w:rPr>
        <w:t>March 18, 2021</w:t>
      </w:r>
    </w:p>
    <w:p>
      <w:pPr>
        <w:spacing w:after="0" w:line="61" w:lineRule="exact"/>
        <w:rPr>
          <w:sz w:val="20"/>
          <w:szCs w:val="20"/>
          <w:color w:val="auto"/>
        </w:rPr>
      </w:pPr>
    </w:p>
    <w:p>
      <w:pPr>
        <w:jc w:val="both"/>
        <w:ind w:left="80" w:right="99"/>
        <w:spacing w:after="0" w:line="266" w:lineRule="auto"/>
        <w:rPr>
          <w:sz w:val="20"/>
          <w:szCs w:val="20"/>
          <w:color w:val="auto"/>
        </w:rPr>
      </w:pPr>
      <w:r>
        <w:rPr>
          <w:rFonts w:ascii="Arial" w:cs="Arial" w:eastAsia="Arial" w:hAnsi="Arial"/>
          <w:sz w:val="17"/>
          <w:szCs w:val="17"/>
          <w:b w:val="1"/>
          <w:bCs w:val="1"/>
          <w:color w:val="auto"/>
        </w:rPr>
        <w:t>YOUR VOTE IS IMPORTANT TO US. WHETHER OR NOT YOU PLAN TO PARTICIPATE IN THE LIVE WEBCAST OF OUR ANNUAL MEETING, WE HOPE YOU WILL VOTE AS SOON AS POSSIBLE. VOTING NOW AT WWW.PROXYVOTE.COM WILL ENSURE YOUR REPRESENTATION AT THE ANNUAL MEETING REGARDLESS OF WHETHER YOU PARTICIPATE IN OUR LIVE WEBCAST. IF YOU HAVE ALREADY VOTED, THERE IS NO NEED TO VOTE AGAIN UNLESS YOU WISH TO CHANGE YOUR VOTE.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82550</wp:posOffset>
            </wp:positionV>
            <wp:extent cx="6995160" cy="171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38" w:right="1440" w:bottom="1440" w:gutter="0" w:footer="0" w:header="0"/>
        </w:sectPr>
      </w:pPr>
    </w:p>
    <w:bookmarkStart w:id="7" w:name="page8"/>
    <w:bookmarkEnd w:id="7"/>
    <w:p>
      <w:pPr>
        <w:jc w:val="center"/>
        <w:ind w:right="79"/>
        <w:spacing w:after="0"/>
        <w:rPr>
          <w:sz w:val="20"/>
          <w:szCs w:val="20"/>
          <w:color w:val="auto"/>
        </w:rPr>
      </w:pPr>
      <w:r>
        <w:rPr>
          <w:rFonts w:ascii="Arial" w:cs="Arial" w:eastAsia="Arial" w:hAnsi="Arial"/>
          <w:sz w:val="29"/>
          <w:szCs w:val="29"/>
          <w:b w:val="1"/>
          <w:bCs w:val="1"/>
          <w:color w:val="0065C1"/>
        </w:rPr>
        <w:drawing>
          <wp:anchor simplePos="0" relativeHeight="251657728" behindDoc="1" locked="0" layoutInCell="0" allowOverlap="1">
            <wp:simplePos x="0" y="0"/>
            <wp:positionH relativeFrom="page">
              <wp:posOffset>3225800</wp:posOffset>
            </wp:positionH>
            <wp:positionV relativeFrom="page">
              <wp:posOffset>165735</wp:posOffset>
            </wp:positionV>
            <wp:extent cx="1097280" cy="4889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1097280" cy="488950"/>
                    </a:xfrm>
                    <a:prstGeom prst="rect">
                      <a:avLst/>
                    </a:prstGeom>
                    <a:noFill/>
                  </pic:spPr>
                </pic:pic>
              </a:graphicData>
            </a:graphic>
          </wp:anchor>
        </w:drawing>
        <w:t>BANCO LATINOAMERICANO DE COMERCIO EXTERIOR, S.A.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39370</wp:posOffset>
            </wp:positionV>
            <wp:extent cx="5623560" cy="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389" w:lineRule="exact"/>
        <w:rPr>
          <w:sz w:val="20"/>
          <w:szCs w:val="20"/>
          <w:color w:val="auto"/>
        </w:rPr>
      </w:pPr>
    </w:p>
    <w:p>
      <w:pPr>
        <w:jc w:val="center"/>
        <w:ind w:right="79"/>
        <w:spacing w:after="0"/>
        <w:rPr>
          <w:sz w:val="20"/>
          <w:szCs w:val="20"/>
          <w:color w:val="auto"/>
        </w:rPr>
      </w:pPr>
      <w:r>
        <w:rPr>
          <w:rFonts w:ascii="Arial" w:cs="Arial" w:eastAsia="Arial" w:hAnsi="Arial"/>
          <w:sz w:val="29"/>
          <w:szCs w:val="29"/>
          <w:b w:val="1"/>
          <w:bCs w:val="1"/>
          <w:color w:val="0065C1"/>
        </w:rPr>
        <w:t>PROXY STATEMENT</w:t>
      </w:r>
    </w:p>
    <w:p>
      <w:pPr>
        <w:spacing w:after="0" w:line="44" w:lineRule="exact"/>
        <w:rPr>
          <w:sz w:val="20"/>
          <w:szCs w:val="20"/>
          <w:color w:val="auto"/>
        </w:rPr>
      </w:pPr>
    </w:p>
    <w:p>
      <w:pPr>
        <w:jc w:val="center"/>
        <w:ind w:right="79"/>
        <w:spacing w:after="0"/>
        <w:rPr>
          <w:sz w:val="20"/>
          <w:szCs w:val="20"/>
          <w:color w:val="auto"/>
        </w:rPr>
      </w:pPr>
      <w:r>
        <w:rPr>
          <w:rFonts w:ascii="Arial" w:cs="Arial" w:eastAsia="Arial" w:hAnsi="Arial"/>
          <w:sz w:val="29"/>
          <w:szCs w:val="29"/>
          <w:b w:val="1"/>
          <w:bCs w:val="1"/>
          <w:color w:val="0065C1"/>
        </w:rPr>
        <w:t>FOR THE 2021 ANNUAL MEETING OF SHAREHOLDERS</w:t>
      </w:r>
    </w:p>
    <w:p>
      <w:pPr>
        <w:spacing w:after="0" w:line="4" w:lineRule="exact"/>
        <w:rPr>
          <w:sz w:val="20"/>
          <w:szCs w:val="20"/>
          <w:color w:val="auto"/>
        </w:rPr>
      </w:pPr>
    </w:p>
    <w:p>
      <w:pPr>
        <w:jc w:val="center"/>
        <w:ind w:right="79"/>
        <w:spacing w:after="0"/>
        <w:rPr>
          <w:sz w:val="20"/>
          <w:szCs w:val="20"/>
          <w:color w:val="auto"/>
        </w:rPr>
      </w:pPr>
      <w:r>
        <w:rPr>
          <w:rFonts w:ascii="Arial" w:cs="Arial" w:eastAsia="Arial" w:hAnsi="Arial"/>
          <w:sz w:val="29"/>
          <w:szCs w:val="29"/>
          <w:b w:val="1"/>
          <w:bCs w:val="1"/>
          <w:color w:val="0065C1"/>
        </w:rPr>
        <w:t>TO BE HELD ON APRIL 21,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13970</wp:posOffset>
            </wp:positionV>
            <wp:extent cx="5623560" cy="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41"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This Proxy Statement is being furnished to holders of shares of common stock of Banco Latinoamericano de Comercio Exterior, S.A. (hereinafter called the “Bank”) in connection with the solicitation by the Board of Directors of the Bank (the “Board”) of proxies to be used at the 2021 Annual Meeting of Shareholders (the “Annual Meeting”) to be held virtually via live webcast at www.virtualshareholdermeeting.com/BLX2021 on Wednesday, April 21, 2021, at 10:30 a.m. (Panama time), and at any postponements or adjournments thereof. Unless the context otherwise requires, all references to the Annual Meeting in this Proxy Statement will mean the Annual Meeting and any postponements or adjournments thereof. References to “$” are to United States dollars.</w:t>
      </w:r>
    </w:p>
    <w:p>
      <w:pPr>
        <w:spacing w:after="0" w:line="153" w:lineRule="exact"/>
        <w:rPr>
          <w:sz w:val="20"/>
          <w:szCs w:val="20"/>
          <w:color w:val="auto"/>
        </w:rPr>
      </w:pPr>
    </w:p>
    <w:p>
      <w:pPr>
        <w:ind w:left="80"/>
        <w:spacing w:after="0"/>
        <w:rPr>
          <w:sz w:val="20"/>
          <w:szCs w:val="20"/>
          <w:color w:val="auto"/>
        </w:rPr>
      </w:pPr>
      <w:r>
        <w:rPr>
          <w:rFonts w:ascii="Arial" w:cs="Arial" w:eastAsia="Arial" w:hAnsi="Arial"/>
          <w:sz w:val="18"/>
          <w:szCs w:val="18"/>
          <w:color w:val="auto"/>
        </w:rPr>
        <w:t>The Annual Meeting has been called for the following purposes:</w:t>
      </w:r>
    </w:p>
    <w:p>
      <w:pPr>
        <w:spacing w:after="0" w:line="144" w:lineRule="exact"/>
        <w:rPr>
          <w:sz w:val="20"/>
          <w:szCs w:val="20"/>
          <w:color w:val="auto"/>
        </w:rPr>
      </w:pPr>
    </w:p>
    <w:p>
      <w:pPr>
        <w:ind w:left="780" w:right="99" w:hanging="344"/>
        <w:spacing w:after="0" w:line="276" w:lineRule="auto"/>
        <w:tabs>
          <w:tab w:leader="none" w:pos="780" w:val="left"/>
        </w:tabs>
        <w:numPr>
          <w:ilvl w:val="0"/>
          <w:numId w:val="3"/>
        </w:numPr>
        <w:rPr>
          <w:rFonts w:ascii="Arial" w:cs="Arial" w:eastAsia="Arial" w:hAnsi="Arial"/>
          <w:sz w:val="18"/>
          <w:szCs w:val="18"/>
          <w:color w:val="auto"/>
        </w:rPr>
      </w:pPr>
      <w:r>
        <w:rPr>
          <w:rFonts w:ascii="Arial" w:cs="Arial" w:eastAsia="Arial" w:hAnsi="Arial"/>
          <w:sz w:val="18"/>
          <w:szCs w:val="18"/>
          <w:color w:val="auto"/>
        </w:rPr>
        <w:t>to approve the Bank’s audited consolidated financial statements for the fiscal year ended December 31, 2020 (See Proposal 1);</w:t>
      </w:r>
    </w:p>
    <w:p>
      <w:pPr>
        <w:spacing w:after="0" w:line="63" w:lineRule="exact"/>
        <w:rPr>
          <w:rFonts w:ascii="Arial" w:cs="Arial" w:eastAsia="Arial" w:hAnsi="Arial"/>
          <w:sz w:val="18"/>
          <w:szCs w:val="18"/>
          <w:color w:val="auto"/>
        </w:rPr>
      </w:pPr>
    </w:p>
    <w:p>
      <w:pPr>
        <w:ind w:left="780" w:right="99" w:hanging="344"/>
        <w:spacing w:after="0" w:line="276" w:lineRule="auto"/>
        <w:tabs>
          <w:tab w:leader="none" w:pos="780" w:val="left"/>
        </w:tabs>
        <w:numPr>
          <w:ilvl w:val="0"/>
          <w:numId w:val="3"/>
        </w:numPr>
        <w:rPr>
          <w:rFonts w:ascii="Arial" w:cs="Arial" w:eastAsia="Arial" w:hAnsi="Arial"/>
          <w:sz w:val="18"/>
          <w:szCs w:val="18"/>
          <w:color w:val="auto"/>
        </w:rPr>
      </w:pPr>
      <w:r>
        <w:rPr>
          <w:rFonts w:ascii="Arial" w:cs="Arial" w:eastAsia="Arial" w:hAnsi="Arial"/>
          <w:sz w:val="18"/>
          <w:szCs w:val="18"/>
          <w:color w:val="auto"/>
        </w:rPr>
        <w:t>to ratify the appointment of KPMG (“KPMG”) as the Bank’s independent registered public accounting firm for the fiscal year ending December 31, 2021 (See Proposal 2);</w:t>
      </w:r>
    </w:p>
    <w:p>
      <w:pPr>
        <w:spacing w:after="0" w:line="77" w:lineRule="exact"/>
        <w:rPr>
          <w:rFonts w:ascii="Arial" w:cs="Arial" w:eastAsia="Arial" w:hAnsi="Arial"/>
          <w:sz w:val="18"/>
          <w:szCs w:val="18"/>
          <w:color w:val="auto"/>
        </w:rPr>
      </w:pPr>
    </w:p>
    <w:p>
      <w:pPr>
        <w:jc w:val="both"/>
        <w:ind w:left="780" w:right="99" w:hanging="344"/>
        <w:spacing w:after="0" w:line="248" w:lineRule="auto"/>
        <w:tabs>
          <w:tab w:leader="none" w:pos="780" w:val="left"/>
        </w:tabs>
        <w:numPr>
          <w:ilvl w:val="0"/>
          <w:numId w:val="3"/>
        </w:numPr>
        <w:rPr>
          <w:rFonts w:ascii="Arial" w:cs="Arial" w:eastAsia="Arial" w:hAnsi="Arial"/>
          <w:sz w:val="18"/>
          <w:szCs w:val="18"/>
          <w:color w:val="auto"/>
        </w:rPr>
      </w:pPr>
      <w:r>
        <w:rPr>
          <w:rFonts w:ascii="Arial" w:cs="Arial" w:eastAsia="Arial" w:hAnsi="Arial"/>
          <w:sz w:val="18"/>
          <w:szCs w:val="18"/>
          <w:color w:val="auto"/>
        </w:rPr>
        <w:t>to elect three directors (one director to represent the holders of the Class E shares of the Bank’s common stock (“Class E Director”) and two directors to represent the holders of all classes of shares of the Bank’s common stock (“All Classes Directors”)), each to serve a three-year term (See Proposal 3);</w:t>
      </w:r>
    </w:p>
    <w:p>
      <w:pPr>
        <w:spacing w:after="0" w:line="102" w:lineRule="exact"/>
        <w:rPr>
          <w:rFonts w:ascii="Arial" w:cs="Arial" w:eastAsia="Arial" w:hAnsi="Arial"/>
          <w:sz w:val="18"/>
          <w:szCs w:val="18"/>
          <w:color w:val="auto"/>
        </w:rPr>
      </w:pPr>
    </w:p>
    <w:p>
      <w:pPr>
        <w:ind w:left="780" w:right="99" w:hanging="344"/>
        <w:spacing w:after="0" w:line="276" w:lineRule="auto"/>
        <w:tabs>
          <w:tab w:leader="none" w:pos="780" w:val="left"/>
        </w:tabs>
        <w:numPr>
          <w:ilvl w:val="0"/>
          <w:numId w:val="3"/>
        </w:numPr>
        <w:rPr>
          <w:rFonts w:ascii="Arial" w:cs="Arial" w:eastAsia="Arial" w:hAnsi="Arial"/>
          <w:sz w:val="18"/>
          <w:szCs w:val="18"/>
          <w:color w:val="auto"/>
        </w:rPr>
      </w:pPr>
      <w:r>
        <w:rPr>
          <w:rFonts w:ascii="Arial" w:cs="Arial" w:eastAsia="Arial" w:hAnsi="Arial"/>
          <w:sz w:val="18"/>
          <w:szCs w:val="18"/>
          <w:color w:val="auto"/>
        </w:rPr>
        <w:t>to approve, on an advisory basis, the compensation of the Bank’s executive officers (See Proposal 4); and</w:t>
      </w:r>
    </w:p>
    <w:p>
      <w:pPr>
        <w:spacing w:after="0" w:line="63" w:lineRule="exact"/>
        <w:rPr>
          <w:rFonts w:ascii="Arial" w:cs="Arial" w:eastAsia="Arial" w:hAnsi="Arial"/>
          <w:sz w:val="18"/>
          <w:szCs w:val="18"/>
          <w:color w:val="auto"/>
        </w:rPr>
      </w:pPr>
    </w:p>
    <w:p>
      <w:pPr>
        <w:ind w:left="780" w:hanging="344"/>
        <w:spacing w:after="0"/>
        <w:tabs>
          <w:tab w:leader="none" w:pos="780" w:val="left"/>
        </w:tabs>
        <w:numPr>
          <w:ilvl w:val="0"/>
          <w:numId w:val="3"/>
        </w:numPr>
        <w:rPr>
          <w:rFonts w:ascii="Arial" w:cs="Arial" w:eastAsia="Arial" w:hAnsi="Arial"/>
          <w:sz w:val="18"/>
          <w:szCs w:val="18"/>
          <w:color w:val="auto"/>
        </w:rPr>
      </w:pPr>
      <w:r>
        <w:rPr>
          <w:rFonts w:ascii="Arial" w:cs="Arial" w:eastAsia="Arial" w:hAnsi="Arial"/>
          <w:sz w:val="18"/>
          <w:szCs w:val="18"/>
          <w:color w:val="auto"/>
        </w:rPr>
        <w:t>to transact such other business as may properly come before the Annual Meeting.</w:t>
      </w:r>
    </w:p>
    <w:p>
      <w:pPr>
        <w:spacing w:after="0" w:line="142" w:lineRule="exact"/>
        <w:rPr>
          <w:sz w:val="20"/>
          <w:szCs w:val="20"/>
          <w:color w:val="auto"/>
        </w:rPr>
      </w:pPr>
    </w:p>
    <w:p>
      <w:pPr>
        <w:jc w:val="both"/>
        <w:ind w:left="80" w:right="79"/>
        <w:spacing w:after="0" w:line="237" w:lineRule="auto"/>
        <w:rPr>
          <w:sz w:val="20"/>
          <w:szCs w:val="20"/>
          <w:color w:val="auto"/>
        </w:rPr>
      </w:pPr>
      <w:r>
        <w:rPr>
          <w:rFonts w:ascii="Arial" w:cs="Arial" w:eastAsia="Arial" w:hAnsi="Arial"/>
          <w:sz w:val="18"/>
          <w:szCs w:val="18"/>
          <w:color w:val="auto"/>
        </w:rPr>
        <w:t xml:space="preserve">The Board recommends that all shareholders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each of Proposal 1 and Proposal 2. With respect to Proposal 3, the Board recommends that (i) all holders of the Class E shares (“Class E Shareholders”) vote </w:t>
      </w:r>
      <w:r>
        <w:rPr>
          <w:rFonts w:ascii="Arial" w:cs="Arial" w:eastAsia="Arial" w:hAnsi="Arial"/>
          <w:sz w:val="18"/>
          <w:szCs w:val="18"/>
          <w:b w:val="1"/>
          <w:bCs w:val="1"/>
          <w:color w:val="auto"/>
        </w:rPr>
        <w:t xml:space="preserve">FOR </w:t>
      </w:r>
      <w:r>
        <w:rPr>
          <w:rFonts w:ascii="Arial" w:cs="Arial" w:eastAsia="Arial" w:hAnsi="Arial"/>
          <w:sz w:val="18"/>
          <w:szCs w:val="18"/>
          <w:color w:val="auto"/>
        </w:rPr>
        <w:t>Miguel Heras Castro as director to represent Class E Shareholders, and (ii) all common shareholders</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Isela Costantini and Alexandra M. Aguirre as directors to represent the holders of all classes of shares of the Bank’s common stock. With respect to Proposal 4, the Board recommends that all shareholders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the approval, on an advisory basis, of the compensation of the Bank’s named executive officers as disclosed in “Compensation of Executive Officers and Directors” and the related narrative disclosure included elsewhere in this Proxy Statement. This Proxy Statement is being mailed to shareholders entitled to vote at the Annual Meeting on or about March 18, 2021. If the enclosed proxy card is properly executed and returned to the Bank in time to be voted at the Annual Meeting, the shares represented thereby will be voted in accordance with the instructions marked thereon. Shareholders shall have the option to use the Internet, telephone or mail to vote their proxy in accordance with the instructions provided in their proxy cards. The participation of a shareholder at the Annual Meeting will not automatically revoke that shareholder’s proxy. Shareholders may, however, revoke a proxy at any time prior to its exercise by delivering to the Bank a duly executed proxy bearing a later date, by virtually attending the Annual Meeting and voting in person, or by providing written notice of revocation to the Secretary of the Bank at Torre V, Business Park, Avenida La Rotonda, Urbanización Costa del Este, P.O. Box 0819-08730, Panama City,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132715</wp:posOffset>
            </wp:positionV>
            <wp:extent cx="5623560" cy="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218440</wp:posOffset>
            </wp:positionV>
            <wp:extent cx="411480" cy="1803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39" w:lineRule="exact"/>
        <w:rPr>
          <w:sz w:val="20"/>
          <w:szCs w:val="20"/>
          <w:color w:val="auto"/>
        </w:rPr>
      </w:pPr>
    </w:p>
    <w:p>
      <w:pPr>
        <w:jc w:val="right"/>
        <w:ind w:right="79"/>
        <w:spacing w:after="0"/>
        <w:tabs>
          <w:tab w:leader="none" w:pos="80" w:val="left"/>
        </w:tabs>
        <w:rPr>
          <w:sz w:val="20"/>
          <w:szCs w:val="20"/>
          <w:color w:val="auto"/>
        </w:rPr>
      </w:pPr>
      <w:r>
        <w:rPr>
          <w:rFonts w:ascii="Arial" w:cs="Arial" w:eastAsia="Arial" w:hAnsi="Arial"/>
          <w:sz w:val="18"/>
          <w:szCs w:val="18"/>
          <w:b w:val="1"/>
          <w:bCs w:val="1"/>
          <w:color w:val="auto"/>
        </w:rPr>
        <w:t>Proxy Statement 2021</w:t>
      </w:r>
      <w:r>
        <w:rPr>
          <w:sz w:val="20"/>
          <w:szCs w:val="20"/>
          <w:color w:val="auto"/>
        </w:rPr>
        <w:tab/>
      </w:r>
      <w:r>
        <w:rPr>
          <w:rFonts w:ascii="Arial" w:cs="Arial" w:eastAsia="Arial" w:hAnsi="Arial"/>
          <w:sz w:val="17"/>
          <w:szCs w:val="17"/>
          <w:b w:val="1"/>
          <w:bCs w:val="1"/>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1418" w:right="1440" w:bottom="1440" w:gutter="0" w:footer="0" w:header="0"/>
        </w:sectPr>
      </w:pPr>
    </w:p>
    <w:bookmarkStart w:id="8" w:name="page9"/>
    <w:bookmarkEnd w:id="8"/>
    <w:p>
      <w:pPr>
        <w:ind w:left="80"/>
        <w:spacing w:after="0"/>
        <w:rPr>
          <w:sz w:val="20"/>
          <w:szCs w:val="20"/>
          <w:color w:val="auto"/>
        </w:rPr>
      </w:pPr>
      <w:r>
        <w:rPr>
          <w:rFonts w:ascii="Arial" w:cs="Arial" w:eastAsia="Arial" w:hAnsi="Arial"/>
          <w:sz w:val="22"/>
          <w:szCs w:val="22"/>
          <w:color w:val="0065C1"/>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50165</wp:posOffset>
            </wp:positionV>
            <wp:extent cx="5623560" cy="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71"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 xml:space="preserve">Republic of Panama. Unless revoked or unless contrary instructions are given (either by voting in person or by subsequent proxy), if a proxy is duly signed, dated and returned, but has no indication of how the applicable shareholder wants to vote with respect to any of the proposals set forth in such proxy, then such proxy will be deemed to grant authorization to vote as follows: (1) </w:t>
      </w:r>
      <w:r>
        <w:rPr>
          <w:rFonts w:ascii="Arial" w:cs="Arial" w:eastAsia="Arial" w:hAnsi="Arial"/>
          <w:sz w:val="18"/>
          <w:szCs w:val="18"/>
          <w:b w:val="1"/>
          <w:bCs w:val="1"/>
          <w:color w:val="auto"/>
        </w:rPr>
        <w:t>FOR</w:t>
      </w:r>
      <w:r>
        <w:rPr>
          <w:rFonts w:ascii="Arial" w:cs="Arial" w:eastAsia="Arial" w:hAnsi="Arial"/>
          <w:sz w:val="18"/>
          <w:szCs w:val="18"/>
          <w:color w:val="auto"/>
        </w:rPr>
        <w:t xml:space="preserve"> Proposal 1 to approve the Bank’s audited consolidated financial statements for the fiscal year ended December 31, 2020; (2) </w:t>
      </w:r>
      <w:r>
        <w:rPr>
          <w:rFonts w:ascii="Arial" w:cs="Arial" w:eastAsia="Arial" w:hAnsi="Arial"/>
          <w:sz w:val="18"/>
          <w:szCs w:val="18"/>
          <w:b w:val="1"/>
          <w:bCs w:val="1"/>
          <w:color w:val="auto"/>
        </w:rPr>
        <w:t>FOR</w:t>
      </w:r>
      <w:r>
        <w:rPr>
          <w:rFonts w:ascii="Arial" w:cs="Arial" w:eastAsia="Arial" w:hAnsi="Arial"/>
          <w:sz w:val="18"/>
          <w:szCs w:val="18"/>
          <w:color w:val="auto"/>
        </w:rPr>
        <w:t xml:space="preserve"> Proposal 2 to ratify the appointment of KPMG as the Bank’s independent registered public accounting firm for the fiscal year ending December 31, 2021; (3) </w:t>
      </w:r>
      <w:r>
        <w:rPr>
          <w:rFonts w:ascii="Arial" w:cs="Arial" w:eastAsia="Arial" w:hAnsi="Arial"/>
          <w:sz w:val="18"/>
          <w:szCs w:val="18"/>
          <w:b w:val="1"/>
          <w:bCs w:val="1"/>
          <w:color w:val="auto"/>
        </w:rPr>
        <w:t>FOR</w:t>
      </w:r>
      <w:r>
        <w:rPr>
          <w:rFonts w:ascii="Arial" w:cs="Arial" w:eastAsia="Arial" w:hAnsi="Arial"/>
          <w:sz w:val="18"/>
          <w:szCs w:val="18"/>
          <w:color w:val="auto"/>
        </w:rPr>
        <w:t xml:space="preserve"> Proposal 3 to grant proxy holders the discretion to vote, in accordance with their best judgment, to elect Miguel Heras Castro as director to represent the Class E Shareholders, and Isela Costantini and Alexandra M. Aguirre as directors to represent the holders of all classes of shares of the Bank’s common stock; (4) </w:t>
      </w:r>
      <w:r>
        <w:rPr>
          <w:rFonts w:ascii="Arial" w:cs="Arial" w:eastAsia="Arial" w:hAnsi="Arial"/>
          <w:sz w:val="18"/>
          <w:szCs w:val="18"/>
          <w:b w:val="1"/>
          <w:bCs w:val="1"/>
          <w:color w:val="auto"/>
        </w:rPr>
        <w:t>FOR</w:t>
      </w:r>
      <w:r>
        <w:rPr>
          <w:rFonts w:ascii="Arial" w:cs="Arial" w:eastAsia="Arial" w:hAnsi="Arial"/>
          <w:sz w:val="18"/>
          <w:szCs w:val="18"/>
          <w:color w:val="auto"/>
        </w:rPr>
        <w:t xml:space="preserve"> Proposal 4 to approve, on an advisory basis, the compensation of the Bank’s named executive officers as disclosed in “Compensation of Executive Officers and Directors” and the related narrative disclosure; and (5) in accordance with the best judgment of the proxy holders with respect to any other matters which may properly come before the Annual Meeting.</w:t>
      </w:r>
    </w:p>
    <w:p>
      <w:pPr>
        <w:spacing w:after="0" w:line="113" w:lineRule="exact"/>
        <w:rPr>
          <w:sz w:val="20"/>
          <w:szCs w:val="20"/>
          <w:color w:val="auto"/>
        </w:rPr>
      </w:pPr>
    </w:p>
    <w:p>
      <w:pPr>
        <w:jc w:val="both"/>
        <w:ind w:left="80" w:right="79"/>
        <w:spacing w:after="0" w:line="239" w:lineRule="auto"/>
        <w:rPr>
          <w:sz w:val="20"/>
          <w:szCs w:val="20"/>
          <w:color w:val="auto"/>
        </w:rPr>
      </w:pPr>
      <w:r>
        <w:rPr>
          <w:rFonts w:ascii="Arial" w:cs="Arial" w:eastAsia="Arial" w:hAnsi="Arial"/>
          <w:sz w:val="18"/>
          <w:szCs w:val="18"/>
          <w:color w:val="auto"/>
        </w:rPr>
        <w:t>To reduce the expense of delivering duplicate proxy materials to our shareholders, we will be delivering only one set of proxy materials to multiple shareholders who share an address unless we receive contrary instructions from any shareholder at that address. This practice, known as “householding,” reduces duplicate mailings, saving printing and postage costs as well as natural resources. Each shareholder retains a separate right to vote on all matters presented at the Annual Meeting. If such a shareholder wishes to receive a separate set of proxy materials, the additional copy can be requested by contacting the Secretary of the Bank at Torre V, Business Park, Avenida La Rotonda, Urbanización Costa del Este, P.O. Box 0819-08730, Panama City, Republic of Panama. A separate set of proxy materials will be sent promptly following receipt of the request. If such shareholder wishes to receive a separate set of proxy materials in the future, the request may be made at the same address provided above.</w:t>
      </w:r>
    </w:p>
    <w:p>
      <w:pPr>
        <w:spacing w:after="0" w:line="207"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Solicitation</w:t>
      </w:r>
    </w:p>
    <w:p>
      <w:pPr>
        <w:spacing w:after="0" w:line="139" w:lineRule="exact"/>
        <w:rPr>
          <w:sz w:val="20"/>
          <w:szCs w:val="20"/>
          <w:color w:val="auto"/>
        </w:rPr>
      </w:pPr>
    </w:p>
    <w:p>
      <w:pPr>
        <w:jc w:val="both"/>
        <w:ind w:left="80" w:right="79"/>
        <w:spacing w:after="0" w:line="241" w:lineRule="auto"/>
        <w:rPr>
          <w:sz w:val="20"/>
          <w:szCs w:val="20"/>
          <w:color w:val="auto"/>
        </w:rPr>
      </w:pPr>
      <w:r>
        <w:rPr>
          <w:rFonts w:ascii="Arial" w:cs="Arial" w:eastAsia="Arial" w:hAnsi="Arial"/>
          <w:sz w:val="18"/>
          <w:szCs w:val="18"/>
          <w:color w:val="auto"/>
        </w:rPr>
        <w:t>The cost of soliciting proxies will be borne by the Bank. In addition to the solicitation of proxies by mail, the Bank, through its directors, officers and other employees, may solicit proxies in person or by telephone, fax or e-mail. The Bank will also request persons, firms and corporations holding shares in their names or in the names of nominees, which are beneficially owned by others, to send the proxy material to, and obtain proxies from, such beneficial owners, and will reimburse such holders for their reasonable expenses in doing so. The Bank may engage a proxy soliciting firm to assist in the solicitation of proxies. The cost of the services provided by such firm is not expected to exceed $10,000, plus out-of-pocket expenses.</w:t>
      </w:r>
    </w:p>
    <w:p>
      <w:pPr>
        <w:spacing w:after="0" w:line="205"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Voting, Outstanding Shares and Quorum</w:t>
      </w:r>
    </w:p>
    <w:p>
      <w:pPr>
        <w:spacing w:after="0" w:line="152" w:lineRule="exact"/>
        <w:rPr>
          <w:sz w:val="20"/>
          <w:szCs w:val="20"/>
          <w:color w:val="auto"/>
        </w:rPr>
      </w:pPr>
    </w:p>
    <w:p>
      <w:pPr>
        <w:jc w:val="both"/>
        <w:ind w:left="80" w:right="99"/>
        <w:spacing w:after="0" w:line="243" w:lineRule="auto"/>
        <w:rPr>
          <w:sz w:val="20"/>
          <w:szCs w:val="20"/>
          <w:color w:val="auto"/>
        </w:rPr>
      </w:pPr>
      <w:r>
        <w:rPr>
          <w:rFonts w:ascii="Arial" w:cs="Arial" w:eastAsia="Arial" w:hAnsi="Arial"/>
          <w:sz w:val="18"/>
          <w:szCs w:val="18"/>
          <w:color w:val="auto"/>
        </w:rPr>
        <w:t>The Board of Directors established March 15, 2021 as our record date. Therefore, only shareholders of record of our common stock at the close of business on March 15, 2021 (the “Record Date”), may vote, either in person or by proxy, at the Annual Meeting. The shares of the Bank that entitle the holders of such shares to vote at the Annual Meeting consist of the Class A shares, Class B shares, and Class E shares, with each share entitling its owner to one vote per share at meetings of the shareholders of the Bank, except with respect to the election of directors.</w:t>
      </w:r>
    </w:p>
    <w:p>
      <w:pPr>
        <w:spacing w:after="0" w:line="93" w:lineRule="exact"/>
        <w:rPr>
          <w:sz w:val="20"/>
          <w:szCs w:val="20"/>
          <w:color w:val="auto"/>
        </w:rPr>
      </w:pPr>
    </w:p>
    <w:p>
      <w:pPr>
        <w:jc w:val="both"/>
        <w:ind w:left="80" w:right="99"/>
        <w:spacing w:after="0" w:line="276" w:lineRule="auto"/>
        <w:rPr>
          <w:sz w:val="20"/>
          <w:szCs w:val="20"/>
          <w:color w:val="auto"/>
        </w:rPr>
      </w:pPr>
      <w:r>
        <w:rPr>
          <w:rFonts w:ascii="Arial" w:cs="Arial" w:eastAsia="Arial" w:hAnsi="Arial"/>
          <w:sz w:val="18"/>
          <w:szCs w:val="18"/>
          <w:color w:val="auto"/>
        </w:rPr>
        <w:t>For the election of directors, the votes of the holders of each class of shares of the Bank’s common stock will be counted separately as a class to elect the director(s) that represent such class.</w:t>
      </w:r>
    </w:p>
    <w:p>
      <w:pPr>
        <w:spacing w:after="0" w:line="77" w:lineRule="exact"/>
        <w:rPr>
          <w:sz w:val="20"/>
          <w:szCs w:val="20"/>
          <w:color w:val="auto"/>
        </w:rPr>
      </w:pPr>
    </w:p>
    <w:p>
      <w:pPr>
        <w:jc w:val="both"/>
        <w:ind w:left="80" w:right="79"/>
        <w:spacing w:after="0" w:line="243" w:lineRule="auto"/>
        <w:rPr>
          <w:sz w:val="20"/>
          <w:szCs w:val="20"/>
          <w:color w:val="auto"/>
        </w:rPr>
      </w:pPr>
      <w:r>
        <w:rPr>
          <w:rFonts w:ascii="Arial" w:cs="Arial" w:eastAsia="Arial" w:hAnsi="Arial"/>
          <w:sz w:val="18"/>
          <w:szCs w:val="18"/>
          <w:color w:val="auto"/>
        </w:rPr>
        <w:t>The holders of each class of common stock have cumulative voting rights with respect to the election of directors, which means that the shareholders of each class have a number of votes equal to the number of shares of such class held by each shareholder, multiplied by the number of directors to be elected by such class. A shareholder can cast all of its votes in favor of one candidate, or distribute them among the directors to be elected, as the shareholder may decide. The candidates who receive the most favorable votes are elected as directors.</w:t>
      </w:r>
    </w:p>
    <w:p>
      <w:pPr>
        <w:spacing w:after="0" w:line="106" w:lineRule="exact"/>
        <w:rPr>
          <w:sz w:val="20"/>
          <w:szCs w:val="20"/>
          <w:color w:val="auto"/>
        </w:rPr>
      </w:pPr>
    </w:p>
    <w:p>
      <w:pPr>
        <w:jc w:val="both"/>
        <w:ind w:left="80" w:right="79"/>
        <w:spacing w:after="0" w:line="243" w:lineRule="auto"/>
        <w:rPr>
          <w:sz w:val="20"/>
          <w:szCs w:val="20"/>
          <w:color w:val="auto"/>
        </w:rPr>
      </w:pPr>
      <w:r>
        <w:rPr>
          <w:rFonts w:ascii="Arial" w:cs="Arial" w:eastAsia="Arial" w:hAnsi="Arial"/>
          <w:sz w:val="18"/>
          <w:szCs w:val="18"/>
          <w:color w:val="auto"/>
        </w:rPr>
        <w:t>The presence (in person or by proxy) of the holders of at least one half (½) of the total issued and outstanding shares of all classes of the Bank’s common stock, plus one additional share of the Bank’s common stock, is necessary to constitute a quorum at the Annual Meeting. The presence (in person or by proxy) of the holders of at least one half (½) of the issued and outstanding shares of each class of the Bank’s common stock electing directors at the Annual Meeting, plus one additional share of each such class, is necessary to constitute a quorum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124460</wp:posOffset>
            </wp:positionV>
            <wp:extent cx="5623560" cy="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210185</wp:posOffset>
            </wp:positionV>
            <wp:extent cx="411480" cy="1803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27" w:lineRule="exact"/>
        <w:rPr>
          <w:sz w:val="20"/>
          <w:szCs w:val="20"/>
          <w:color w:val="auto"/>
        </w:rPr>
      </w:pPr>
    </w:p>
    <w:p>
      <w:pPr>
        <w:ind w:left="80"/>
        <w:spacing w:after="0"/>
        <w:tabs>
          <w:tab w:leader="none" w:pos="420" w:val="left"/>
        </w:tabs>
        <w:rPr>
          <w:sz w:val="20"/>
          <w:szCs w:val="20"/>
          <w:color w:val="auto"/>
        </w:rPr>
      </w:pPr>
      <w:r>
        <w:rPr>
          <w:rFonts w:ascii="Arial" w:cs="Arial" w:eastAsia="Arial" w:hAnsi="Arial"/>
          <w:sz w:val="18"/>
          <w:szCs w:val="18"/>
          <w:b w:val="1"/>
          <w:bCs w:val="1"/>
          <w:color w:val="auto"/>
        </w:rPr>
        <w:t>2</w:t>
        <w:tab/>
        <w:t>Proxy Statement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9" w:name="page10"/>
    <w:bookmarkEnd w:id="9"/>
    <w:p>
      <w:pPr>
        <w:ind w:left="6840"/>
        <w:spacing w:after="0"/>
        <w:rPr>
          <w:sz w:val="20"/>
          <w:szCs w:val="20"/>
          <w:color w:val="auto"/>
        </w:rPr>
      </w:pPr>
      <w:r>
        <w:rPr>
          <w:rFonts w:ascii="Arial" w:cs="Arial" w:eastAsia="Arial" w:hAnsi="Arial"/>
          <w:sz w:val="21"/>
          <w:szCs w:val="21"/>
          <w:color w:val="0065C1"/>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57150</wp:posOffset>
            </wp:positionV>
            <wp:extent cx="5623560" cy="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82" w:lineRule="exact"/>
        <w:rPr>
          <w:sz w:val="20"/>
          <w:szCs w:val="20"/>
          <w:color w:val="auto"/>
        </w:rPr>
      </w:pPr>
    </w:p>
    <w:p>
      <w:pPr>
        <w:jc w:val="both"/>
        <w:ind w:left="80" w:right="79"/>
        <w:spacing w:after="0" w:line="241" w:lineRule="auto"/>
        <w:rPr>
          <w:sz w:val="20"/>
          <w:szCs w:val="20"/>
          <w:color w:val="auto"/>
        </w:rPr>
      </w:pPr>
      <w:r>
        <w:rPr>
          <w:rFonts w:ascii="Arial" w:cs="Arial" w:eastAsia="Arial" w:hAnsi="Arial"/>
          <w:sz w:val="18"/>
          <w:szCs w:val="18"/>
          <w:color w:val="auto"/>
        </w:rPr>
        <w:t>at the Annual Meeting for the purpose of electing such directors. If a quorum is not attained at the Annual Meeting on Wednesday, April 21, 2021, at 10:30 a.m. (Panama time), then a second meeting will be held at 10:30 a.m. (Panama time) on Thursday, April 22, 2021, at the same location, with the shareholders present (in person or by proxy) at such second meeting. At such second meeting, a quorum will be constituted by the shareholders present (in person or by proxy) at such meeting; and for the purpose of electing directors, a quorum will be constituted by the shareholders of each separate class of shares present (in person or by proxy) at such meeting.</w:t>
      </w:r>
    </w:p>
    <w:p>
      <w:pPr>
        <w:spacing w:after="0" w:line="111" w:lineRule="exact"/>
        <w:rPr>
          <w:sz w:val="20"/>
          <w:szCs w:val="20"/>
          <w:color w:val="auto"/>
        </w:rPr>
      </w:pPr>
    </w:p>
    <w:p>
      <w:pPr>
        <w:jc w:val="both"/>
        <w:ind w:left="80" w:right="99"/>
        <w:spacing w:after="0" w:line="255" w:lineRule="auto"/>
        <w:rPr>
          <w:sz w:val="20"/>
          <w:szCs w:val="20"/>
          <w:color w:val="auto"/>
        </w:rPr>
      </w:pPr>
      <w:r>
        <w:rPr>
          <w:rFonts w:ascii="Arial" w:cs="Arial" w:eastAsia="Arial" w:hAnsi="Arial"/>
          <w:sz w:val="18"/>
          <w:szCs w:val="18"/>
          <w:color w:val="auto"/>
        </w:rPr>
        <w:t>As of December 31, 2020, there were issued and outstanding an aggregate of 39,677,940 shares of all classes of the Bank’s common stock. Set forth below is the number of shares of each class of the Bank’s common stock issued and outstanding as of December 31, 2020:</w:t>
      </w:r>
    </w:p>
    <w:p>
      <w:pPr>
        <w:spacing w:after="0" w:line="38" w:lineRule="exact"/>
        <w:rPr>
          <w:sz w:val="20"/>
          <w:szCs w:val="20"/>
          <w:color w:val="auto"/>
        </w:rPr>
      </w:pPr>
    </w:p>
    <w:tbl>
      <w:tblPr>
        <w:tblLayout w:type="fixed"/>
        <w:tblInd w:w="80" w:type="dxa"/>
        <w:tblCellMar>
          <w:top w:w="0" w:type="dxa"/>
          <w:left w:w="0" w:type="dxa"/>
          <w:bottom w:w="0" w:type="dxa"/>
          <w:right w:w="0" w:type="dxa"/>
        </w:tblCellMar>
      </w:tblPr>
      <w:tr>
        <w:trPr>
          <w:trHeight w:val="277"/>
        </w:trPr>
        <w:tc>
          <w:tcPr>
            <w:tcW w:w="4380" w:type="dxa"/>
            <w:vAlign w:val="bottom"/>
            <w:shd w:val="clear" w:color="auto" w:fill="0065C1"/>
          </w:tcPr>
          <w:p>
            <w:pPr>
              <w:spacing w:after="0"/>
              <w:rPr>
                <w:sz w:val="24"/>
                <w:szCs w:val="24"/>
                <w:color w:val="auto"/>
              </w:rPr>
            </w:pPr>
          </w:p>
        </w:tc>
        <w:tc>
          <w:tcPr>
            <w:tcW w:w="4480" w:type="dxa"/>
            <w:vAlign w:val="bottom"/>
            <w:gridSpan w:val="3"/>
            <w:shd w:val="clear" w:color="auto" w:fill="0065C1"/>
          </w:tcPr>
          <w:p>
            <w:pPr>
              <w:jc w:val="center"/>
              <w:ind w:left="1873"/>
              <w:spacing w:after="0"/>
              <w:rPr>
                <w:sz w:val="20"/>
                <w:szCs w:val="20"/>
                <w:color w:val="auto"/>
              </w:rPr>
            </w:pPr>
            <w:r>
              <w:rPr>
                <w:rFonts w:ascii="Arial" w:cs="Arial" w:eastAsia="Arial" w:hAnsi="Arial"/>
                <w:sz w:val="16"/>
                <w:szCs w:val="16"/>
                <w:b w:val="1"/>
                <w:bCs w:val="1"/>
                <w:color w:val="FFFFFF"/>
              </w:rPr>
              <w:t>Number of Shares</w:t>
            </w:r>
          </w:p>
        </w:tc>
      </w:tr>
      <w:tr>
        <w:trPr>
          <w:trHeight w:val="189"/>
        </w:trPr>
        <w:tc>
          <w:tcPr>
            <w:tcW w:w="4380" w:type="dxa"/>
            <w:vAlign w:val="bottom"/>
            <w:shd w:val="clear" w:color="auto" w:fill="0065C1"/>
          </w:tcPr>
          <w:p>
            <w:pPr>
              <w:spacing w:after="0"/>
              <w:rPr>
                <w:sz w:val="16"/>
                <w:szCs w:val="16"/>
                <w:color w:val="auto"/>
              </w:rPr>
            </w:pPr>
          </w:p>
        </w:tc>
        <w:tc>
          <w:tcPr>
            <w:tcW w:w="4480" w:type="dxa"/>
            <w:vAlign w:val="bottom"/>
            <w:gridSpan w:val="3"/>
            <w:shd w:val="clear" w:color="auto" w:fill="0065C1"/>
          </w:tcPr>
          <w:p>
            <w:pPr>
              <w:jc w:val="center"/>
              <w:ind w:left="1833"/>
              <w:spacing w:after="0"/>
              <w:rPr>
                <w:sz w:val="20"/>
                <w:szCs w:val="20"/>
                <w:color w:val="auto"/>
              </w:rPr>
            </w:pPr>
            <w:r>
              <w:rPr>
                <w:rFonts w:ascii="Arial" w:cs="Arial" w:eastAsia="Arial" w:hAnsi="Arial"/>
                <w:sz w:val="16"/>
                <w:szCs w:val="16"/>
                <w:b w:val="1"/>
                <w:bCs w:val="1"/>
                <w:color w:val="FFFFFF"/>
              </w:rPr>
              <w:t>Outstanding</w:t>
            </w:r>
          </w:p>
        </w:tc>
      </w:tr>
      <w:tr>
        <w:trPr>
          <w:trHeight w:val="257"/>
        </w:trPr>
        <w:tc>
          <w:tcPr>
            <w:tcW w:w="4380" w:type="dxa"/>
            <w:vAlign w:val="bottom"/>
            <w:tcBorders>
              <w:bottom w:val="single" w:sz="8" w:color="0065C1"/>
            </w:tcBorders>
            <w:shd w:val="clear" w:color="auto" w:fill="0065C1"/>
          </w:tcPr>
          <w:p>
            <w:pPr>
              <w:ind w:left="100"/>
              <w:spacing w:after="0"/>
              <w:rPr>
                <w:sz w:val="20"/>
                <w:szCs w:val="20"/>
                <w:color w:val="auto"/>
              </w:rPr>
            </w:pPr>
            <w:r>
              <w:rPr>
                <w:rFonts w:ascii="Arial" w:cs="Arial" w:eastAsia="Arial" w:hAnsi="Arial"/>
                <w:sz w:val="16"/>
                <w:szCs w:val="16"/>
                <w:b w:val="1"/>
                <w:bCs w:val="1"/>
                <w:color w:val="FFFFFF"/>
              </w:rPr>
              <w:t>Class of Shares</w:t>
            </w:r>
          </w:p>
        </w:tc>
        <w:tc>
          <w:tcPr>
            <w:tcW w:w="4480" w:type="dxa"/>
            <w:vAlign w:val="bottom"/>
            <w:tcBorders>
              <w:bottom w:val="single" w:sz="8" w:color="0065C1"/>
            </w:tcBorders>
            <w:gridSpan w:val="3"/>
            <w:shd w:val="clear" w:color="auto" w:fill="0065C1"/>
          </w:tcPr>
          <w:p>
            <w:pPr>
              <w:jc w:val="center"/>
              <w:ind w:left="1873"/>
              <w:spacing w:after="0"/>
              <w:rPr>
                <w:sz w:val="20"/>
                <w:szCs w:val="20"/>
                <w:color w:val="auto"/>
              </w:rPr>
            </w:pPr>
            <w:r>
              <w:rPr>
                <w:rFonts w:ascii="Arial" w:cs="Arial" w:eastAsia="Arial" w:hAnsi="Arial"/>
                <w:sz w:val="16"/>
                <w:szCs w:val="16"/>
                <w:b w:val="1"/>
                <w:bCs w:val="1"/>
                <w:color w:val="FFFFFF"/>
              </w:rPr>
              <w:t>as of December 31, 2020</w:t>
            </w:r>
          </w:p>
        </w:tc>
      </w:tr>
      <w:tr>
        <w:trPr>
          <w:trHeight w:val="318"/>
        </w:trPr>
        <w:tc>
          <w:tcPr>
            <w:tcW w:w="438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Class A Common Shares</w:t>
            </w:r>
          </w:p>
        </w:tc>
        <w:tc>
          <w:tcPr>
            <w:tcW w:w="3680" w:type="dxa"/>
            <w:vAlign w:val="bottom"/>
            <w:tcBorders>
              <w:bottom w:val="single" w:sz="8" w:color="D7E7F5"/>
            </w:tcBorders>
            <w:gridSpan w:val="2"/>
            <w:shd w:val="clear" w:color="auto" w:fill="D7E7F5"/>
          </w:tcPr>
          <w:p>
            <w:pPr>
              <w:jc w:val="right"/>
              <w:spacing w:after="0"/>
              <w:rPr>
                <w:sz w:val="20"/>
                <w:szCs w:val="20"/>
                <w:color w:val="auto"/>
              </w:rPr>
            </w:pPr>
            <w:r>
              <w:rPr>
                <w:rFonts w:ascii="Arial" w:cs="Arial" w:eastAsia="Arial" w:hAnsi="Arial"/>
                <w:sz w:val="18"/>
                <w:szCs w:val="18"/>
                <w:color w:val="auto"/>
              </w:rPr>
              <w:t>6,342,189</w:t>
            </w:r>
          </w:p>
        </w:tc>
        <w:tc>
          <w:tcPr>
            <w:tcW w:w="800" w:type="dxa"/>
            <w:vAlign w:val="bottom"/>
            <w:tcBorders>
              <w:bottom w:val="single" w:sz="8" w:color="D7E7F5"/>
            </w:tcBorders>
            <w:shd w:val="clear" w:color="auto" w:fill="D7E7F5"/>
          </w:tcPr>
          <w:p>
            <w:pPr>
              <w:spacing w:after="0"/>
              <w:rPr>
                <w:sz w:val="24"/>
                <w:szCs w:val="24"/>
                <w:color w:val="auto"/>
              </w:rPr>
            </w:pPr>
          </w:p>
        </w:tc>
      </w:tr>
      <w:tr>
        <w:trPr>
          <w:trHeight w:val="288"/>
        </w:trPr>
        <w:tc>
          <w:tcPr>
            <w:tcW w:w="4380" w:type="dxa"/>
            <w:vAlign w:val="bottom"/>
          </w:tcPr>
          <w:p>
            <w:pPr>
              <w:ind w:left="100"/>
              <w:spacing w:after="0"/>
              <w:rPr>
                <w:sz w:val="20"/>
                <w:szCs w:val="20"/>
                <w:color w:val="auto"/>
              </w:rPr>
            </w:pPr>
            <w:r>
              <w:rPr>
                <w:rFonts w:ascii="Arial" w:cs="Arial" w:eastAsia="Arial" w:hAnsi="Arial"/>
                <w:sz w:val="18"/>
                <w:szCs w:val="18"/>
                <w:color w:val="auto"/>
              </w:rPr>
              <w:t>Class B Common Shares</w:t>
            </w:r>
          </w:p>
        </w:tc>
        <w:tc>
          <w:tcPr>
            <w:tcW w:w="3680" w:type="dxa"/>
            <w:vAlign w:val="bottom"/>
            <w:gridSpan w:val="2"/>
          </w:tcPr>
          <w:p>
            <w:pPr>
              <w:jc w:val="right"/>
              <w:spacing w:after="0"/>
              <w:rPr>
                <w:sz w:val="20"/>
                <w:szCs w:val="20"/>
                <w:color w:val="auto"/>
              </w:rPr>
            </w:pPr>
            <w:r>
              <w:rPr>
                <w:rFonts w:ascii="Arial" w:cs="Arial" w:eastAsia="Arial" w:hAnsi="Arial"/>
                <w:sz w:val="18"/>
                <w:szCs w:val="18"/>
                <w:color w:val="auto"/>
              </w:rPr>
              <w:t>2,178,365</w:t>
            </w:r>
          </w:p>
        </w:tc>
        <w:tc>
          <w:tcPr>
            <w:tcW w:w="800" w:type="dxa"/>
            <w:vAlign w:val="bottom"/>
          </w:tcPr>
          <w:p>
            <w:pPr>
              <w:spacing w:after="0"/>
              <w:rPr>
                <w:sz w:val="24"/>
                <w:szCs w:val="24"/>
                <w:color w:val="auto"/>
              </w:rPr>
            </w:pPr>
          </w:p>
        </w:tc>
      </w:tr>
      <w:tr>
        <w:trPr>
          <w:trHeight w:val="50"/>
        </w:trPr>
        <w:tc>
          <w:tcPr>
            <w:tcW w:w="4380" w:type="dxa"/>
            <w:vAlign w:val="bottom"/>
          </w:tcPr>
          <w:p>
            <w:pPr>
              <w:spacing w:after="0"/>
              <w:rPr>
                <w:sz w:val="4"/>
                <w:szCs w:val="4"/>
                <w:color w:val="auto"/>
              </w:rPr>
            </w:pPr>
          </w:p>
        </w:tc>
        <w:tc>
          <w:tcPr>
            <w:tcW w:w="2780" w:type="dxa"/>
            <w:vAlign w:val="bottom"/>
          </w:tcPr>
          <w:p>
            <w:pPr>
              <w:spacing w:after="0"/>
              <w:rPr>
                <w:sz w:val="4"/>
                <w:szCs w:val="4"/>
                <w:color w:val="auto"/>
              </w:rPr>
            </w:pPr>
          </w:p>
        </w:tc>
        <w:tc>
          <w:tcPr>
            <w:tcW w:w="900" w:type="dxa"/>
            <w:vAlign w:val="bottom"/>
          </w:tcPr>
          <w:p>
            <w:pPr>
              <w:spacing w:after="0"/>
              <w:rPr>
                <w:sz w:val="4"/>
                <w:szCs w:val="4"/>
                <w:color w:val="auto"/>
              </w:rPr>
            </w:pPr>
          </w:p>
        </w:tc>
        <w:tc>
          <w:tcPr>
            <w:tcW w:w="800" w:type="dxa"/>
            <w:vAlign w:val="bottom"/>
          </w:tcPr>
          <w:p>
            <w:pPr>
              <w:spacing w:after="0"/>
              <w:rPr>
                <w:sz w:val="4"/>
                <w:szCs w:val="4"/>
                <w:color w:val="auto"/>
              </w:rPr>
            </w:pPr>
          </w:p>
        </w:tc>
      </w:tr>
      <w:tr>
        <w:trPr>
          <w:trHeight w:val="318"/>
        </w:trPr>
        <w:tc>
          <w:tcPr>
            <w:tcW w:w="438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Class E Common Shares</w:t>
            </w:r>
          </w:p>
        </w:tc>
        <w:tc>
          <w:tcPr>
            <w:tcW w:w="4480" w:type="dxa"/>
            <w:vAlign w:val="bottom"/>
            <w:tcBorders>
              <w:bottom w:val="single" w:sz="8" w:color="D7E7F5"/>
            </w:tcBorders>
            <w:gridSpan w:val="3"/>
            <w:shd w:val="clear" w:color="auto" w:fill="D7E7F5"/>
          </w:tcPr>
          <w:p>
            <w:pPr>
              <w:jc w:val="right"/>
              <w:ind w:right="800"/>
              <w:spacing w:after="0"/>
              <w:rPr>
                <w:sz w:val="20"/>
                <w:szCs w:val="20"/>
                <w:color w:val="auto"/>
              </w:rPr>
            </w:pPr>
            <w:r>
              <w:rPr>
                <w:rFonts w:ascii="Arial" w:cs="Arial" w:eastAsia="Arial" w:hAnsi="Arial"/>
                <w:sz w:val="18"/>
                <w:szCs w:val="18"/>
                <w:color w:val="auto"/>
              </w:rPr>
              <w:t>31,157,386</w:t>
            </w:r>
          </w:p>
        </w:tc>
      </w:tr>
      <w:tr>
        <w:trPr>
          <w:trHeight w:val="284"/>
        </w:trPr>
        <w:tc>
          <w:tcPr>
            <w:tcW w:w="4380" w:type="dxa"/>
            <w:vAlign w:val="bottom"/>
          </w:tcPr>
          <w:p>
            <w:pPr>
              <w:ind w:left="100"/>
              <w:spacing w:after="0"/>
              <w:rPr>
                <w:sz w:val="20"/>
                <w:szCs w:val="20"/>
                <w:color w:val="auto"/>
              </w:rPr>
            </w:pPr>
            <w:r>
              <w:rPr>
                <w:rFonts w:ascii="Arial" w:cs="Arial" w:eastAsia="Arial" w:hAnsi="Arial"/>
                <w:sz w:val="18"/>
                <w:szCs w:val="18"/>
                <w:color w:val="auto"/>
              </w:rPr>
              <w:t>Class F Common Shares</w:t>
            </w:r>
          </w:p>
        </w:tc>
        <w:tc>
          <w:tcPr>
            <w:tcW w:w="3680" w:type="dxa"/>
            <w:vAlign w:val="bottom"/>
            <w:gridSpan w:val="2"/>
          </w:tcPr>
          <w:p>
            <w:pPr>
              <w:jc w:val="right"/>
              <w:spacing w:after="0"/>
              <w:rPr>
                <w:sz w:val="20"/>
                <w:szCs w:val="20"/>
                <w:color w:val="auto"/>
              </w:rPr>
            </w:pPr>
            <w:r>
              <w:rPr>
                <w:rFonts w:ascii="Arial" w:cs="Arial" w:eastAsia="Arial" w:hAnsi="Arial"/>
                <w:sz w:val="18"/>
                <w:szCs w:val="18"/>
                <w:color w:val="auto"/>
              </w:rPr>
              <w:t>0</w:t>
            </w:r>
          </w:p>
        </w:tc>
        <w:tc>
          <w:tcPr>
            <w:tcW w:w="800" w:type="dxa"/>
            <w:vAlign w:val="bottom"/>
          </w:tcPr>
          <w:p>
            <w:pPr>
              <w:spacing w:after="0"/>
              <w:rPr>
                <w:sz w:val="24"/>
                <w:szCs w:val="24"/>
                <w:color w:val="auto"/>
              </w:rPr>
            </w:pPr>
          </w:p>
        </w:tc>
      </w:tr>
      <w:tr>
        <w:trPr>
          <w:trHeight w:val="34"/>
        </w:trPr>
        <w:tc>
          <w:tcPr>
            <w:tcW w:w="4380" w:type="dxa"/>
            <w:vAlign w:val="bottom"/>
          </w:tcPr>
          <w:p>
            <w:pPr>
              <w:spacing w:after="0"/>
              <w:rPr>
                <w:sz w:val="2"/>
                <w:szCs w:val="2"/>
                <w:color w:val="auto"/>
              </w:rPr>
            </w:pPr>
          </w:p>
        </w:tc>
        <w:tc>
          <w:tcPr>
            <w:tcW w:w="2780" w:type="dxa"/>
            <w:vAlign w:val="bottom"/>
          </w:tcPr>
          <w:p>
            <w:pPr>
              <w:spacing w:after="0"/>
              <w:rPr>
                <w:sz w:val="2"/>
                <w:szCs w:val="2"/>
                <w:color w:val="auto"/>
              </w:rPr>
            </w:pPr>
          </w:p>
        </w:tc>
        <w:tc>
          <w:tcPr>
            <w:tcW w:w="900" w:type="dxa"/>
            <w:vAlign w:val="bottom"/>
            <w:tcBorders>
              <w:top w:val="single" w:sz="8" w:color="auto"/>
            </w:tcBorders>
          </w:tcPr>
          <w:p>
            <w:pPr>
              <w:spacing w:after="0"/>
              <w:rPr>
                <w:sz w:val="2"/>
                <w:szCs w:val="2"/>
                <w:color w:val="auto"/>
              </w:rPr>
            </w:pPr>
          </w:p>
        </w:tc>
        <w:tc>
          <w:tcPr>
            <w:tcW w:w="800" w:type="dxa"/>
            <w:vAlign w:val="bottom"/>
          </w:tcPr>
          <w:p>
            <w:pPr>
              <w:spacing w:after="0"/>
              <w:rPr>
                <w:sz w:val="2"/>
                <w:szCs w:val="2"/>
                <w:color w:val="auto"/>
              </w:rPr>
            </w:pPr>
          </w:p>
        </w:tc>
      </w:tr>
      <w:tr>
        <w:trPr>
          <w:trHeight w:val="304"/>
        </w:trPr>
        <w:tc>
          <w:tcPr>
            <w:tcW w:w="438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Total Common Shares</w:t>
            </w:r>
          </w:p>
        </w:tc>
        <w:tc>
          <w:tcPr>
            <w:tcW w:w="4480" w:type="dxa"/>
            <w:vAlign w:val="bottom"/>
            <w:tcBorders>
              <w:bottom w:val="single" w:sz="8" w:color="D7E7F5"/>
            </w:tcBorders>
            <w:gridSpan w:val="3"/>
            <w:shd w:val="clear" w:color="auto" w:fill="D7E7F5"/>
          </w:tcPr>
          <w:p>
            <w:pPr>
              <w:jc w:val="right"/>
              <w:ind w:right="800"/>
              <w:spacing w:after="0"/>
              <w:rPr>
                <w:sz w:val="20"/>
                <w:szCs w:val="20"/>
                <w:color w:val="auto"/>
              </w:rPr>
            </w:pPr>
            <w:r>
              <w:rPr>
                <w:rFonts w:ascii="Arial" w:cs="Arial" w:eastAsia="Arial" w:hAnsi="Arial"/>
                <w:sz w:val="18"/>
                <w:szCs w:val="18"/>
                <w:color w:val="auto"/>
              </w:rPr>
              <w:t>39,677,940</w:t>
            </w:r>
          </w:p>
        </w:tc>
      </w:tr>
      <w:tr>
        <w:trPr>
          <w:trHeight w:val="20"/>
        </w:trPr>
        <w:tc>
          <w:tcPr>
            <w:tcW w:w="4380" w:type="dxa"/>
            <w:vAlign w:val="bottom"/>
            <w:shd w:val="clear" w:color="auto" w:fill="0065C1"/>
          </w:tcPr>
          <w:p>
            <w:pPr>
              <w:spacing w:after="0" w:line="20" w:lineRule="exact"/>
              <w:rPr>
                <w:sz w:val="1"/>
                <w:szCs w:val="1"/>
                <w:color w:val="auto"/>
              </w:rPr>
            </w:pPr>
          </w:p>
        </w:tc>
        <w:tc>
          <w:tcPr>
            <w:tcW w:w="2780" w:type="dxa"/>
            <w:vAlign w:val="bottom"/>
            <w:shd w:val="clear" w:color="auto" w:fill="0065C1"/>
          </w:tcPr>
          <w:p>
            <w:pPr>
              <w:spacing w:after="0" w:line="20" w:lineRule="exact"/>
              <w:rPr>
                <w:sz w:val="1"/>
                <w:szCs w:val="1"/>
                <w:color w:val="auto"/>
              </w:rPr>
            </w:pPr>
          </w:p>
        </w:tc>
        <w:tc>
          <w:tcPr>
            <w:tcW w:w="900" w:type="dxa"/>
            <w:vAlign w:val="bottom"/>
            <w:shd w:val="clear" w:color="auto" w:fill="0065C1"/>
          </w:tcPr>
          <w:p>
            <w:pPr>
              <w:spacing w:after="0" w:line="20" w:lineRule="exact"/>
              <w:rPr>
                <w:sz w:val="1"/>
                <w:szCs w:val="1"/>
                <w:color w:val="auto"/>
              </w:rPr>
            </w:pPr>
          </w:p>
        </w:tc>
        <w:tc>
          <w:tcPr>
            <w:tcW w:w="800" w:type="dxa"/>
            <w:vAlign w:val="bottom"/>
            <w:shd w:val="clear" w:color="auto" w:fill="0065C1"/>
          </w:tcPr>
          <w:p>
            <w:pPr>
              <w:spacing w:after="0" w:line="20" w:lineRule="exact"/>
              <w:rPr>
                <w:sz w:val="1"/>
                <w:szCs w:val="1"/>
                <w:color w:val="auto"/>
              </w:rPr>
            </w:pPr>
          </w:p>
        </w:tc>
      </w:tr>
    </w:tbl>
    <w:p>
      <w:pPr>
        <w:spacing w:after="0" w:line="126" w:lineRule="exact"/>
        <w:rPr>
          <w:sz w:val="20"/>
          <w:szCs w:val="20"/>
          <w:color w:val="auto"/>
        </w:rPr>
      </w:pPr>
    </w:p>
    <w:p>
      <w:pPr>
        <w:jc w:val="both"/>
        <w:ind w:left="80" w:right="79"/>
        <w:spacing w:after="0" w:line="255" w:lineRule="auto"/>
        <w:rPr>
          <w:sz w:val="20"/>
          <w:szCs w:val="20"/>
          <w:color w:val="auto"/>
        </w:rPr>
      </w:pPr>
      <w:r>
        <w:rPr>
          <w:rFonts w:ascii="Arial" w:cs="Arial" w:eastAsia="Arial" w:hAnsi="Arial"/>
          <w:sz w:val="18"/>
          <w:szCs w:val="18"/>
          <w:color w:val="auto"/>
        </w:rPr>
        <w:t>As of December 31, 2020, the Bank was not directly or indirectly owned or controlled by another corporation or any foreign government, and no person was the registered owner of more than 14.4% of the total outstanding shares of voting capital stock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118745</wp:posOffset>
            </wp:positionV>
            <wp:extent cx="5623560" cy="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204470</wp:posOffset>
            </wp:positionV>
            <wp:extent cx="411480" cy="1797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17" w:lineRule="exact"/>
        <w:rPr>
          <w:sz w:val="20"/>
          <w:szCs w:val="20"/>
          <w:color w:val="auto"/>
        </w:rPr>
      </w:pPr>
    </w:p>
    <w:p>
      <w:pPr>
        <w:ind w:left="6700"/>
        <w:spacing w:after="0"/>
        <w:tabs>
          <w:tab w:leader="none" w:pos="8820" w:val="left"/>
        </w:tabs>
        <w:rPr>
          <w:sz w:val="20"/>
          <w:szCs w:val="20"/>
          <w:color w:val="auto"/>
        </w:rPr>
      </w:pPr>
      <w:r>
        <w:rPr>
          <w:rFonts w:ascii="Arial" w:cs="Arial" w:eastAsia="Arial" w:hAnsi="Arial"/>
          <w:sz w:val="18"/>
          <w:szCs w:val="18"/>
          <w:b w:val="1"/>
          <w:bCs w:val="1"/>
          <w:color w:val="auto"/>
        </w:rPr>
        <w:t>Proxy Statement 2021</w:t>
      </w:r>
      <w:r>
        <w:rPr>
          <w:sz w:val="20"/>
          <w:szCs w:val="20"/>
          <w:color w:val="auto"/>
        </w:rPr>
        <w:tab/>
      </w:r>
      <w:r>
        <w:rPr>
          <w:rFonts w:ascii="Arial" w:cs="Arial" w:eastAsia="Arial" w:hAnsi="Arial"/>
          <w:sz w:val="17"/>
          <w:szCs w:val="17"/>
          <w:b w:val="1"/>
          <w:bCs w:val="1"/>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10" w:name="page11"/>
    <w:bookmarkEnd w:id="10"/>
    <w:p>
      <w:pPr>
        <w:ind w:left="80"/>
        <w:spacing w:after="0"/>
        <w:rPr>
          <w:sz w:val="20"/>
          <w:szCs w:val="20"/>
          <w:color w:val="auto"/>
        </w:rPr>
      </w:pPr>
      <w:r>
        <w:rPr>
          <w:rFonts w:ascii="Arial" w:cs="Arial" w:eastAsia="Arial" w:hAnsi="Arial"/>
          <w:sz w:val="22"/>
          <w:szCs w:val="22"/>
          <w:color w:val="0065C1"/>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50165</wp:posOffset>
            </wp:positionV>
            <wp:extent cx="5623560" cy="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171" w:lineRule="exact"/>
        <w:rPr>
          <w:sz w:val="20"/>
          <w:szCs w:val="20"/>
          <w:color w:val="auto"/>
        </w:rPr>
      </w:pPr>
    </w:p>
    <w:p>
      <w:pPr>
        <w:ind w:left="80" w:right="99"/>
        <w:spacing w:after="0" w:line="276" w:lineRule="auto"/>
        <w:rPr>
          <w:sz w:val="20"/>
          <w:szCs w:val="20"/>
          <w:color w:val="auto"/>
        </w:rPr>
      </w:pPr>
      <w:r>
        <w:rPr>
          <w:rFonts w:ascii="Arial" w:cs="Arial" w:eastAsia="Arial" w:hAnsi="Arial"/>
          <w:sz w:val="18"/>
          <w:szCs w:val="18"/>
          <w:color w:val="auto"/>
        </w:rPr>
        <w:t>The following table sets forth information regarding the Bank’s shareholders that are the beneficial owners of 5% or more of any one class of the Bank’s voting stock, on December 31, 2020:</w:t>
      </w:r>
    </w:p>
    <w:p>
      <w:pPr>
        <w:spacing w:after="0" w:line="33" w:lineRule="exact"/>
        <w:rPr>
          <w:sz w:val="20"/>
          <w:szCs w:val="20"/>
          <w:color w:val="auto"/>
        </w:rPr>
      </w:pPr>
    </w:p>
    <w:tbl>
      <w:tblPr>
        <w:tblLayout w:type="fixed"/>
        <w:tblInd w:w="80" w:type="dxa"/>
        <w:tblCellMar>
          <w:top w:w="0" w:type="dxa"/>
          <w:left w:w="0" w:type="dxa"/>
          <w:bottom w:w="0" w:type="dxa"/>
          <w:right w:w="0" w:type="dxa"/>
        </w:tblCellMar>
      </w:tblPr>
      <w:tr>
        <w:trPr>
          <w:trHeight w:val="317"/>
        </w:trPr>
        <w:tc>
          <w:tcPr>
            <w:tcW w:w="4720" w:type="dxa"/>
            <w:vAlign w:val="bottom"/>
            <w:shd w:val="clear" w:color="auto" w:fill="0065C1"/>
          </w:tcPr>
          <w:p>
            <w:pPr>
              <w:spacing w:after="0"/>
              <w:rPr>
                <w:sz w:val="24"/>
                <w:szCs w:val="24"/>
                <w:color w:val="auto"/>
              </w:rPr>
            </w:pPr>
          </w:p>
        </w:tc>
        <w:tc>
          <w:tcPr>
            <w:tcW w:w="1200" w:type="dxa"/>
            <w:vAlign w:val="bottom"/>
            <w:shd w:val="clear" w:color="auto" w:fill="0065C1"/>
          </w:tcPr>
          <w:p>
            <w:pPr>
              <w:spacing w:after="0"/>
              <w:rPr>
                <w:sz w:val="24"/>
                <w:szCs w:val="24"/>
                <w:color w:val="auto"/>
              </w:rPr>
            </w:pPr>
          </w:p>
        </w:tc>
        <w:tc>
          <w:tcPr>
            <w:tcW w:w="2940" w:type="dxa"/>
            <w:vAlign w:val="bottom"/>
            <w:gridSpan w:val="2"/>
            <w:shd w:val="clear" w:color="auto" w:fill="0065C1"/>
          </w:tcPr>
          <w:p>
            <w:pPr>
              <w:jc w:val="right"/>
              <w:ind w:right="893"/>
              <w:spacing w:after="0"/>
              <w:rPr>
                <w:sz w:val="20"/>
                <w:szCs w:val="20"/>
                <w:color w:val="auto"/>
              </w:rPr>
            </w:pPr>
            <w:r>
              <w:rPr>
                <w:rFonts w:ascii="Arial" w:cs="Arial" w:eastAsia="Arial" w:hAnsi="Arial"/>
                <w:sz w:val="16"/>
                <w:szCs w:val="16"/>
                <w:b w:val="1"/>
                <w:bCs w:val="1"/>
                <w:color w:val="FFFFFF"/>
              </w:rPr>
              <w:t>As of December 31, 2020</w:t>
            </w:r>
          </w:p>
        </w:tc>
      </w:tr>
      <w:tr>
        <w:trPr>
          <w:trHeight w:val="325"/>
        </w:trPr>
        <w:tc>
          <w:tcPr>
            <w:tcW w:w="4720" w:type="dxa"/>
            <w:vAlign w:val="bottom"/>
            <w:shd w:val="clear" w:color="auto" w:fill="0065C1"/>
          </w:tcPr>
          <w:p>
            <w:pPr>
              <w:spacing w:after="0"/>
              <w:rPr>
                <w:sz w:val="24"/>
                <w:szCs w:val="24"/>
                <w:color w:val="auto"/>
              </w:rPr>
            </w:pPr>
          </w:p>
        </w:tc>
        <w:tc>
          <w:tcPr>
            <w:tcW w:w="1200" w:type="dxa"/>
            <w:vAlign w:val="bottom"/>
            <w:shd w:val="clear" w:color="auto" w:fill="0065C1"/>
          </w:tcPr>
          <w:p>
            <w:pPr>
              <w:spacing w:after="0"/>
              <w:rPr>
                <w:sz w:val="24"/>
                <w:szCs w:val="24"/>
                <w:color w:val="auto"/>
              </w:rPr>
            </w:pPr>
          </w:p>
        </w:tc>
        <w:tc>
          <w:tcPr>
            <w:tcW w:w="1460" w:type="dxa"/>
            <w:vAlign w:val="bottom"/>
            <w:shd w:val="clear" w:color="auto" w:fill="0065C1"/>
          </w:tcPr>
          <w:p>
            <w:pPr>
              <w:spacing w:after="0"/>
              <w:rPr>
                <w:sz w:val="24"/>
                <w:szCs w:val="24"/>
                <w:color w:val="auto"/>
              </w:rPr>
            </w:pPr>
          </w:p>
        </w:tc>
        <w:tc>
          <w:tcPr>
            <w:tcW w:w="1480" w:type="dxa"/>
            <w:vAlign w:val="bottom"/>
            <w:shd w:val="clear" w:color="auto" w:fill="0065C1"/>
          </w:tcPr>
          <w:p>
            <w:pPr>
              <w:jc w:val="right"/>
              <w:ind w:right="213"/>
              <w:spacing w:after="0"/>
              <w:rPr>
                <w:sz w:val="20"/>
                <w:szCs w:val="20"/>
                <w:color w:val="auto"/>
              </w:rPr>
            </w:pPr>
            <w:r>
              <w:rPr>
                <w:rFonts w:ascii="Arial" w:cs="Arial" w:eastAsia="Arial" w:hAnsi="Arial"/>
                <w:sz w:val="16"/>
                <w:szCs w:val="16"/>
                <w:b w:val="1"/>
                <w:bCs w:val="1"/>
                <w:color w:val="FFFFFF"/>
              </w:rPr>
              <w:t>% of Total</w:t>
            </w:r>
          </w:p>
        </w:tc>
      </w:tr>
      <w:tr>
        <w:trPr>
          <w:trHeight w:val="189"/>
        </w:trPr>
        <w:tc>
          <w:tcPr>
            <w:tcW w:w="4720" w:type="dxa"/>
            <w:vAlign w:val="bottom"/>
            <w:shd w:val="clear" w:color="auto" w:fill="0065C1"/>
          </w:tcPr>
          <w:p>
            <w:pPr>
              <w:spacing w:after="0"/>
              <w:rPr>
                <w:sz w:val="16"/>
                <w:szCs w:val="16"/>
                <w:color w:val="auto"/>
              </w:rPr>
            </w:pPr>
          </w:p>
        </w:tc>
        <w:tc>
          <w:tcPr>
            <w:tcW w:w="1200" w:type="dxa"/>
            <w:vAlign w:val="bottom"/>
            <w:shd w:val="clear" w:color="auto" w:fill="0065C1"/>
          </w:tcPr>
          <w:p>
            <w:pPr>
              <w:jc w:val="center"/>
              <w:ind w:left="192"/>
              <w:spacing w:after="0"/>
              <w:rPr>
                <w:sz w:val="20"/>
                <w:szCs w:val="20"/>
                <w:color w:val="auto"/>
              </w:rPr>
            </w:pPr>
            <w:r>
              <w:rPr>
                <w:rFonts w:ascii="Arial" w:cs="Arial" w:eastAsia="Arial" w:hAnsi="Arial"/>
                <w:sz w:val="16"/>
                <w:szCs w:val="16"/>
                <w:b w:val="1"/>
                <w:bCs w:val="1"/>
                <w:color w:val="FFFFFF"/>
                <w:w w:val="99"/>
              </w:rPr>
              <w:t>Number of</w:t>
            </w:r>
          </w:p>
        </w:tc>
        <w:tc>
          <w:tcPr>
            <w:tcW w:w="1460" w:type="dxa"/>
            <w:vAlign w:val="bottom"/>
            <w:shd w:val="clear" w:color="auto" w:fill="0065C1"/>
          </w:tcPr>
          <w:p>
            <w:pPr>
              <w:ind w:left="640"/>
              <w:spacing w:after="0"/>
              <w:rPr>
                <w:sz w:val="20"/>
                <w:szCs w:val="20"/>
                <w:color w:val="auto"/>
              </w:rPr>
            </w:pPr>
            <w:r>
              <w:rPr>
                <w:rFonts w:ascii="Arial" w:cs="Arial" w:eastAsia="Arial" w:hAnsi="Arial"/>
                <w:sz w:val="16"/>
                <w:szCs w:val="16"/>
                <w:b w:val="1"/>
                <w:bCs w:val="1"/>
                <w:color w:val="FFFFFF"/>
              </w:rPr>
              <w:t>% of</w:t>
            </w:r>
          </w:p>
        </w:tc>
        <w:tc>
          <w:tcPr>
            <w:tcW w:w="1480" w:type="dxa"/>
            <w:vAlign w:val="bottom"/>
            <w:shd w:val="clear" w:color="auto" w:fill="0065C1"/>
          </w:tcPr>
          <w:p>
            <w:pPr>
              <w:jc w:val="center"/>
              <w:ind w:left="93"/>
              <w:spacing w:after="0"/>
              <w:rPr>
                <w:sz w:val="20"/>
                <w:szCs w:val="20"/>
                <w:color w:val="auto"/>
              </w:rPr>
            </w:pPr>
            <w:r>
              <w:rPr>
                <w:rFonts w:ascii="Arial" w:cs="Arial" w:eastAsia="Arial" w:hAnsi="Arial"/>
                <w:sz w:val="16"/>
                <w:szCs w:val="16"/>
                <w:b w:val="1"/>
                <w:bCs w:val="1"/>
                <w:color w:val="FFFFFF"/>
              </w:rPr>
              <w:t>Common</w:t>
            </w:r>
          </w:p>
        </w:tc>
      </w:tr>
      <w:tr>
        <w:trPr>
          <w:trHeight w:val="257"/>
        </w:trPr>
        <w:tc>
          <w:tcPr>
            <w:tcW w:w="4720" w:type="dxa"/>
            <w:vAlign w:val="bottom"/>
            <w:tcBorders>
              <w:bottom w:val="single" w:sz="8" w:color="0065C1"/>
            </w:tcBorders>
            <w:shd w:val="clear" w:color="auto" w:fill="0065C1"/>
          </w:tcPr>
          <w:p>
            <w:pPr>
              <w:ind w:left="100"/>
              <w:spacing w:after="0"/>
              <w:rPr>
                <w:sz w:val="20"/>
                <w:szCs w:val="20"/>
                <w:color w:val="auto"/>
              </w:rPr>
            </w:pPr>
            <w:r>
              <w:rPr>
                <w:rFonts w:ascii="Arial" w:cs="Arial" w:eastAsia="Arial" w:hAnsi="Arial"/>
                <w:sz w:val="16"/>
                <w:szCs w:val="16"/>
                <w:b w:val="1"/>
                <w:bCs w:val="1"/>
                <w:color w:val="FFFFFF"/>
              </w:rPr>
              <w:t>Class A Common Stock</w:t>
            </w:r>
          </w:p>
        </w:tc>
        <w:tc>
          <w:tcPr>
            <w:tcW w:w="1200" w:type="dxa"/>
            <w:vAlign w:val="bottom"/>
            <w:tcBorders>
              <w:bottom w:val="single" w:sz="8" w:color="0065C1"/>
            </w:tcBorders>
            <w:shd w:val="clear" w:color="auto" w:fill="0065C1"/>
          </w:tcPr>
          <w:p>
            <w:pPr>
              <w:jc w:val="center"/>
              <w:ind w:left="212"/>
              <w:spacing w:after="0"/>
              <w:rPr>
                <w:sz w:val="20"/>
                <w:szCs w:val="20"/>
                <w:color w:val="auto"/>
              </w:rPr>
            </w:pPr>
            <w:r>
              <w:rPr>
                <w:rFonts w:ascii="Arial" w:cs="Arial" w:eastAsia="Arial" w:hAnsi="Arial"/>
                <w:sz w:val="16"/>
                <w:szCs w:val="16"/>
                <w:b w:val="1"/>
                <w:bCs w:val="1"/>
                <w:color w:val="FFFFFF"/>
              </w:rPr>
              <w:t>Shares</w:t>
            </w:r>
          </w:p>
        </w:tc>
        <w:tc>
          <w:tcPr>
            <w:tcW w:w="1460" w:type="dxa"/>
            <w:vAlign w:val="bottom"/>
            <w:tcBorders>
              <w:bottom w:val="single" w:sz="8" w:color="0065C1"/>
            </w:tcBorders>
            <w:shd w:val="clear" w:color="auto" w:fill="0065C1"/>
          </w:tcPr>
          <w:p>
            <w:pPr>
              <w:ind w:left="600"/>
              <w:spacing w:after="0"/>
              <w:rPr>
                <w:sz w:val="20"/>
                <w:szCs w:val="20"/>
                <w:color w:val="auto"/>
              </w:rPr>
            </w:pPr>
            <w:r>
              <w:rPr>
                <w:rFonts w:ascii="Arial" w:cs="Arial" w:eastAsia="Arial" w:hAnsi="Arial"/>
                <w:sz w:val="16"/>
                <w:szCs w:val="16"/>
                <w:b w:val="1"/>
                <w:bCs w:val="1"/>
                <w:color w:val="FFFFFF"/>
              </w:rPr>
              <w:t>Class</w:t>
            </w:r>
          </w:p>
        </w:tc>
        <w:tc>
          <w:tcPr>
            <w:tcW w:w="1480" w:type="dxa"/>
            <w:vAlign w:val="bottom"/>
            <w:tcBorders>
              <w:bottom w:val="single" w:sz="8" w:color="0065C1"/>
            </w:tcBorders>
            <w:shd w:val="clear" w:color="auto" w:fill="0065C1"/>
          </w:tcPr>
          <w:p>
            <w:pPr>
              <w:jc w:val="center"/>
              <w:ind w:left="113"/>
              <w:spacing w:after="0"/>
              <w:rPr>
                <w:sz w:val="20"/>
                <w:szCs w:val="20"/>
                <w:color w:val="auto"/>
              </w:rPr>
            </w:pPr>
            <w:r>
              <w:rPr>
                <w:rFonts w:ascii="Arial" w:cs="Arial" w:eastAsia="Arial" w:hAnsi="Arial"/>
                <w:sz w:val="16"/>
                <w:szCs w:val="16"/>
                <w:b w:val="1"/>
                <w:bCs w:val="1"/>
                <w:color w:val="FFFFFF"/>
              </w:rPr>
              <w:t>Stock</w:t>
            </w:r>
          </w:p>
        </w:tc>
      </w:tr>
      <w:tr>
        <w:trPr>
          <w:trHeight w:val="247"/>
        </w:trPr>
        <w:tc>
          <w:tcPr>
            <w:tcW w:w="47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Banco de la Nación Argentina</w:t>
            </w:r>
          </w:p>
        </w:tc>
        <w:tc>
          <w:tcPr>
            <w:tcW w:w="1200" w:type="dxa"/>
            <w:vAlign w:val="bottom"/>
            <w:shd w:val="clear" w:color="auto" w:fill="D7E7F5"/>
          </w:tcPr>
          <w:p>
            <w:pPr>
              <w:spacing w:after="0"/>
              <w:rPr>
                <w:sz w:val="21"/>
                <w:szCs w:val="21"/>
                <w:color w:val="auto"/>
              </w:rPr>
            </w:pPr>
          </w:p>
        </w:tc>
        <w:tc>
          <w:tcPr>
            <w:tcW w:w="1460" w:type="dxa"/>
            <w:vAlign w:val="bottom"/>
            <w:shd w:val="clear" w:color="auto" w:fill="D7E7F5"/>
          </w:tcPr>
          <w:p>
            <w:pPr>
              <w:spacing w:after="0"/>
              <w:rPr>
                <w:sz w:val="21"/>
                <w:szCs w:val="21"/>
                <w:color w:val="auto"/>
              </w:rPr>
            </w:pPr>
          </w:p>
        </w:tc>
        <w:tc>
          <w:tcPr>
            <w:tcW w:w="1480" w:type="dxa"/>
            <w:vAlign w:val="bottom"/>
            <w:shd w:val="clear" w:color="auto" w:fill="D7E7F5"/>
          </w:tcPr>
          <w:p>
            <w:pPr>
              <w:spacing w:after="0"/>
              <w:rPr>
                <w:sz w:val="21"/>
                <w:szCs w:val="21"/>
                <w:color w:val="auto"/>
              </w:rPr>
            </w:pPr>
          </w:p>
        </w:tc>
      </w:tr>
      <w:tr>
        <w:trPr>
          <w:trHeight w:val="203"/>
        </w:trPr>
        <w:tc>
          <w:tcPr>
            <w:tcW w:w="4720" w:type="dxa"/>
            <w:vAlign w:val="bottom"/>
            <w:shd w:val="clear" w:color="auto" w:fill="D7E7F5"/>
          </w:tcPr>
          <w:p>
            <w:pPr>
              <w:ind w:left="100"/>
              <w:spacing w:after="0" w:line="202" w:lineRule="exact"/>
              <w:rPr>
                <w:sz w:val="20"/>
                <w:szCs w:val="20"/>
                <w:color w:val="auto"/>
              </w:rPr>
            </w:pPr>
            <w:r>
              <w:rPr>
                <w:rFonts w:ascii="Arial" w:cs="Arial" w:eastAsia="Arial" w:hAnsi="Arial"/>
                <w:sz w:val="18"/>
                <w:szCs w:val="18"/>
                <w:color w:val="auto"/>
              </w:rPr>
              <w:t>Bartolomé Mitre 326</w:t>
            </w:r>
          </w:p>
        </w:tc>
        <w:tc>
          <w:tcPr>
            <w:tcW w:w="1200" w:type="dxa"/>
            <w:vAlign w:val="bottom"/>
            <w:shd w:val="clear" w:color="auto" w:fill="D7E7F5"/>
          </w:tcPr>
          <w:p>
            <w:pPr>
              <w:spacing w:after="0"/>
              <w:rPr>
                <w:sz w:val="17"/>
                <w:szCs w:val="17"/>
                <w:color w:val="auto"/>
              </w:rPr>
            </w:pPr>
          </w:p>
        </w:tc>
        <w:tc>
          <w:tcPr>
            <w:tcW w:w="1460" w:type="dxa"/>
            <w:vAlign w:val="bottom"/>
            <w:shd w:val="clear" w:color="auto" w:fill="D7E7F5"/>
          </w:tcPr>
          <w:p>
            <w:pPr>
              <w:spacing w:after="0"/>
              <w:rPr>
                <w:sz w:val="17"/>
                <w:szCs w:val="17"/>
                <w:color w:val="auto"/>
              </w:rPr>
            </w:pPr>
          </w:p>
        </w:tc>
        <w:tc>
          <w:tcPr>
            <w:tcW w:w="1480" w:type="dxa"/>
            <w:vAlign w:val="bottom"/>
            <w:shd w:val="clear" w:color="auto" w:fill="D7E7F5"/>
          </w:tcPr>
          <w:p>
            <w:pPr>
              <w:spacing w:after="0"/>
              <w:rPr>
                <w:sz w:val="17"/>
                <w:szCs w:val="17"/>
                <w:color w:val="auto"/>
              </w:rPr>
            </w:pPr>
          </w:p>
        </w:tc>
      </w:tr>
      <w:tr>
        <w:trPr>
          <w:trHeight w:val="273"/>
        </w:trPr>
        <w:tc>
          <w:tcPr>
            <w:tcW w:w="472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CP 1036 AAF Buenos Aires, Argentina</w:t>
            </w:r>
          </w:p>
        </w:tc>
        <w:tc>
          <w:tcPr>
            <w:tcW w:w="120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1,045,348</w:t>
            </w:r>
          </w:p>
        </w:tc>
        <w:tc>
          <w:tcPr>
            <w:tcW w:w="1460" w:type="dxa"/>
            <w:vAlign w:val="bottom"/>
            <w:tcBorders>
              <w:bottom w:val="single" w:sz="8" w:color="D7E7F5"/>
            </w:tcBorders>
            <w:shd w:val="clear" w:color="auto" w:fill="D7E7F5"/>
          </w:tcPr>
          <w:p>
            <w:pPr>
              <w:jc w:val="right"/>
              <w:ind w:right="332"/>
              <w:spacing w:after="0"/>
              <w:rPr>
                <w:sz w:val="20"/>
                <w:szCs w:val="20"/>
                <w:color w:val="auto"/>
              </w:rPr>
            </w:pPr>
            <w:r>
              <w:rPr>
                <w:rFonts w:ascii="Arial" w:cs="Arial" w:eastAsia="Arial" w:hAnsi="Arial"/>
                <w:sz w:val="18"/>
                <w:szCs w:val="18"/>
                <w:color w:val="auto"/>
              </w:rPr>
              <w:t>16.5</w:t>
            </w:r>
          </w:p>
        </w:tc>
        <w:tc>
          <w:tcPr>
            <w:tcW w:w="148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2.6</w:t>
            </w:r>
          </w:p>
        </w:tc>
      </w:tr>
      <w:tr>
        <w:trPr>
          <w:trHeight w:val="247"/>
        </w:trPr>
        <w:tc>
          <w:tcPr>
            <w:tcW w:w="4720" w:type="dxa"/>
            <w:vAlign w:val="bottom"/>
          </w:tcPr>
          <w:p>
            <w:pPr>
              <w:ind w:left="100"/>
              <w:spacing w:after="0"/>
              <w:rPr>
                <w:sz w:val="20"/>
                <w:szCs w:val="20"/>
                <w:color w:val="auto"/>
              </w:rPr>
            </w:pPr>
            <w:r>
              <w:rPr>
                <w:rFonts w:ascii="Arial" w:cs="Arial" w:eastAsia="Arial" w:hAnsi="Arial"/>
                <w:sz w:val="18"/>
                <w:szCs w:val="18"/>
                <w:color w:val="auto"/>
              </w:rPr>
              <w:t>Banco do Brasil</w:t>
            </w:r>
          </w:p>
        </w:tc>
        <w:tc>
          <w:tcPr>
            <w:tcW w:w="120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1480" w:type="dxa"/>
            <w:vAlign w:val="bottom"/>
          </w:tcPr>
          <w:p>
            <w:pPr>
              <w:spacing w:after="0"/>
              <w:rPr>
                <w:sz w:val="21"/>
                <w:szCs w:val="21"/>
                <w:color w:val="auto"/>
              </w:rPr>
            </w:pPr>
          </w:p>
        </w:tc>
      </w:tr>
      <w:tr>
        <w:trPr>
          <w:trHeight w:val="203"/>
        </w:trPr>
        <w:tc>
          <w:tcPr>
            <w:tcW w:w="4720" w:type="dxa"/>
            <w:vAlign w:val="bottom"/>
          </w:tcPr>
          <w:p>
            <w:pPr>
              <w:ind w:left="100"/>
              <w:spacing w:after="0" w:line="202" w:lineRule="exact"/>
              <w:rPr>
                <w:sz w:val="20"/>
                <w:szCs w:val="20"/>
                <w:color w:val="auto"/>
              </w:rPr>
            </w:pPr>
            <w:r>
              <w:rPr>
                <w:rFonts w:ascii="Arial" w:cs="Arial" w:eastAsia="Arial" w:hAnsi="Arial"/>
                <w:sz w:val="18"/>
                <w:szCs w:val="18"/>
                <w:color w:val="auto"/>
              </w:rPr>
              <w:t>SAUN Qd 5, Lote B, Torre II, 12 Andar</w:t>
            </w:r>
          </w:p>
        </w:tc>
        <w:tc>
          <w:tcPr>
            <w:tcW w:w="1200" w:type="dxa"/>
            <w:vAlign w:val="bottom"/>
          </w:tcPr>
          <w:p>
            <w:pPr>
              <w:spacing w:after="0"/>
              <w:rPr>
                <w:sz w:val="17"/>
                <w:szCs w:val="17"/>
                <w:color w:val="auto"/>
              </w:rPr>
            </w:pPr>
          </w:p>
        </w:tc>
        <w:tc>
          <w:tcPr>
            <w:tcW w:w="1460" w:type="dxa"/>
            <w:vAlign w:val="bottom"/>
          </w:tcPr>
          <w:p>
            <w:pPr>
              <w:spacing w:after="0"/>
              <w:rPr>
                <w:sz w:val="17"/>
                <w:szCs w:val="17"/>
                <w:color w:val="auto"/>
              </w:rPr>
            </w:pPr>
          </w:p>
        </w:tc>
        <w:tc>
          <w:tcPr>
            <w:tcW w:w="1480" w:type="dxa"/>
            <w:vAlign w:val="bottom"/>
          </w:tcPr>
          <w:p>
            <w:pPr>
              <w:spacing w:after="0"/>
              <w:rPr>
                <w:sz w:val="17"/>
                <w:szCs w:val="17"/>
                <w:color w:val="auto"/>
              </w:rPr>
            </w:pPr>
          </w:p>
        </w:tc>
      </w:tr>
      <w:tr>
        <w:trPr>
          <w:trHeight w:val="203"/>
        </w:trPr>
        <w:tc>
          <w:tcPr>
            <w:tcW w:w="4720" w:type="dxa"/>
            <w:vAlign w:val="bottom"/>
          </w:tcPr>
          <w:p>
            <w:pPr>
              <w:ind w:left="100"/>
              <w:spacing w:after="0" w:line="202" w:lineRule="exact"/>
              <w:rPr>
                <w:sz w:val="20"/>
                <w:szCs w:val="20"/>
                <w:color w:val="auto"/>
              </w:rPr>
            </w:pPr>
            <w:r>
              <w:rPr>
                <w:rFonts w:ascii="Arial" w:cs="Arial" w:eastAsia="Arial" w:hAnsi="Arial"/>
                <w:sz w:val="18"/>
                <w:szCs w:val="18"/>
                <w:color w:val="auto"/>
              </w:rPr>
              <w:t>Edificio Banco do Brasil</w:t>
            </w:r>
          </w:p>
        </w:tc>
        <w:tc>
          <w:tcPr>
            <w:tcW w:w="1200" w:type="dxa"/>
            <w:vAlign w:val="bottom"/>
          </w:tcPr>
          <w:p>
            <w:pPr>
              <w:spacing w:after="0"/>
              <w:rPr>
                <w:sz w:val="17"/>
                <w:szCs w:val="17"/>
                <w:color w:val="auto"/>
              </w:rPr>
            </w:pPr>
          </w:p>
        </w:tc>
        <w:tc>
          <w:tcPr>
            <w:tcW w:w="1460" w:type="dxa"/>
            <w:vAlign w:val="bottom"/>
          </w:tcPr>
          <w:p>
            <w:pPr>
              <w:spacing w:after="0"/>
              <w:rPr>
                <w:sz w:val="17"/>
                <w:szCs w:val="17"/>
                <w:color w:val="auto"/>
              </w:rPr>
            </w:pPr>
          </w:p>
        </w:tc>
        <w:tc>
          <w:tcPr>
            <w:tcW w:w="1480" w:type="dxa"/>
            <w:vAlign w:val="bottom"/>
          </w:tcPr>
          <w:p>
            <w:pPr>
              <w:spacing w:after="0"/>
              <w:rPr>
                <w:sz w:val="17"/>
                <w:szCs w:val="17"/>
                <w:color w:val="auto"/>
              </w:rPr>
            </w:pPr>
          </w:p>
        </w:tc>
      </w:tr>
      <w:tr>
        <w:trPr>
          <w:trHeight w:val="243"/>
        </w:trPr>
        <w:tc>
          <w:tcPr>
            <w:tcW w:w="4720" w:type="dxa"/>
            <w:vAlign w:val="bottom"/>
          </w:tcPr>
          <w:p>
            <w:pPr>
              <w:ind w:left="100"/>
              <w:spacing w:after="0"/>
              <w:rPr>
                <w:sz w:val="20"/>
                <w:szCs w:val="20"/>
                <w:color w:val="auto"/>
              </w:rPr>
            </w:pPr>
            <w:r>
              <w:rPr>
                <w:rFonts w:ascii="Arial" w:cs="Arial" w:eastAsia="Arial" w:hAnsi="Arial"/>
                <w:sz w:val="18"/>
                <w:szCs w:val="18"/>
                <w:color w:val="auto"/>
              </w:rPr>
              <w:t>CEP 70040-912 Brasilia, DF - Brazil</w:t>
            </w:r>
          </w:p>
        </w:tc>
        <w:tc>
          <w:tcPr>
            <w:tcW w:w="1200" w:type="dxa"/>
            <w:vAlign w:val="bottom"/>
          </w:tcPr>
          <w:p>
            <w:pPr>
              <w:jc w:val="right"/>
              <w:spacing w:after="0"/>
              <w:rPr>
                <w:sz w:val="20"/>
                <w:szCs w:val="20"/>
                <w:color w:val="auto"/>
              </w:rPr>
            </w:pPr>
            <w:r>
              <w:rPr>
                <w:rFonts w:ascii="Arial" w:cs="Arial" w:eastAsia="Arial" w:hAnsi="Arial"/>
                <w:sz w:val="18"/>
                <w:szCs w:val="18"/>
                <w:color w:val="auto"/>
              </w:rPr>
              <w:t>974,551</w:t>
            </w:r>
          </w:p>
        </w:tc>
        <w:tc>
          <w:tcPr>
            <w:tcW w:w="1460" w:type="dxa"/>
            <w:vAlign w:val="bottom"/>
          </w:tcPr>
          <w:p>
            <w:pPr>
              <w:jc w:val="right"/>
              <w:ind w:right="332"/>
              <w:spacing w:after="0"/>
              <w:rPr>
                <w:sz w:val="20"/>
                <w:szCs w:val="20"/>
                <w:color w:val="auto"/>
              </w:rPr>
            </w:pPr>
            <w:r>
              <w:rPr>
                <w:rFonts w:ascii="Arial" w:cs="Arial" w:eastAsia="Arial" w:hAnsi="Arial"/>
                <w:sz w:val="18"/>
                <w:szCs w:val="18"/>
                <w:color w:val="auto"/>
              </w:rPr>
              <w:t>15.4</w:t>
            </w:r>
          </w:p>
        </w:tc>
        <w:tc>
          <w:tcPr>
            <w:tcW w:w="1480" w:type="dxa"/>
            <w:vAlign w:val="bottom"/>
          </w:tcPr>
          <w:p>
            <w:pPr>
              <w:jc w:val="right"/>
              <w:ind w:right="393"/>
              <w:spacing w:after="0"/>
              <w:rPr>
                <w:sz w:val="20"/>
                <w:szCs w:val="20"/>
                <w:color w:val="auto"/>
              </w:rPr>
            </w:pPr>
            <w:r>
              <w:rPr>
                <w:rFonts w:ascii="Arial" w:cs="Arial" w:eastAsia="Arial" w:hAnsi="Arial"/>
                <w:sz w:val="18"/>
                <w:szCs w:val="18"/>
                <w:color w:val="auto"/>
              </w:rPr>
              <w:t>2.5</w:t>
            </w:r>
          </w:p>
        </w:tc>
      </w:tr>
      <w:tr>
        <w:trPr>
          <w:trHeight w:val="50"/>
        </w:trPr>
        <w:tc>
          <w:tcPr>
            <w:tcW w:w="4720" w:type="dxa"/>
            <w:vAlign w:val="bottom"/>
          </w:tcPr>
          <w:p>
            <w:pPr>
              <w:spacing w:after="0"/>
              <w:rPr>
                <w:sz w:val="4"/>
                <w:szCs w:val="4"/>
                <w:color w:val="auto"/>
              </w:rPr>
            </w:pPr>
          </w:p>
        </w:tc>
        <w:tc>
          <w:tcPr>
            <w:tcW w:w="1200" w:type="dxa"/>
            <w:vAlign w:val="bottom"/>
          </w:tcPr>
          <w:p>
            <w:pPr>
              <w:spacing w:after="0"/>
              <w:rPr>
                <w:sz w:val="4"/>
                <w:szCs w:val="4"/>
                <w:color w:val="auto"/>
              </w:rPr>
            </w:pPr>
          </w:p>
        </w:tc>
        <w:tc>
          <w:tcPr>
            <w:tcW w:w="1460" w:type="dxa"/>
            <w:vAlign w:val="bottom"/>
          </w:tcPr>
          <w:p>
            <w:pPr>
              <w:spacing w:after="0"/>
              <w:rPr>
                <w:sz w:val="4"/>
                <w:szCs w:val="4"/>
                <w:color w:val="auto"/>
              </w:rPr>
            </w:pPr>
          </w:p>
        </w:tc>
        <w:tc>
          <w:tcPr>
            <w:tcW w:w="1480" w:type="dxa"/>
            <w:vAlign w:val="bottom"/>
          </w:tcPr>
          <w:p>
            <w:pPr>
              <w:spacing w:after="0"/>
              <w:rPr>
                <w:sz w:val="4"/>
                <w:szCs w:val="4"/>
                <w:color w:val="auto"/>
              </w:rPr>
            </w:pPr>
          </w:p>
        </w:tc>
      </w:tr>
      <w:tr>
        <w:trPr>
          <w:trHeight w:val="247"/>
        </w:trPr>
        <w:tc>
          <w:tcPr>
            <w:tcW w:w="47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Banco de Comercio Exterior de Colombia</w:t>
            </w:r>
          </w:p>
        </w:tc>
        <w:tc>
          <w:tcPr>
            <w:tcW w:w="1200" w:type="dxa"/>
            <w:vAlign w:val="bottom"/>
            <w:shd w:val="clear" w:color="auto" w:fill="D7E7F5"/>
          </w:tcPr>
          <w:p>
            <w:pPr>
              <w:spacing w:after="0"/>
              <w:rPr>
                <w:sz w:val="21"/>
                <w:szCs w:val="21"/>
                <w:color w:val="auto"/>
              </w:rPr>
            </w:pPr>
          </w:p>
        </w:tc>
        <w:tc>
          <w:tcPr>
            <w:tcW w:w="1460" w:type="dxa"/>
            <w:vAlign w:val="bottom"/>
            <w:shd w:val="clear" w:color="auto" w:fill="D7E7F5"/>
          </w:tcPr>
          <w:p>
            <w:pPr>
              <w:spacing w:after="0"/>
              <w:rPr>
                <w:sz w:val="21"/>
                <w:szCs w:val="21"/>
                <w:color w:val="auto"/>
              </w:rPr>
            </w:pPr>
          </w:p>
        </w:tc>
        <w:tc>
          <w:tcPr>
            <w:tcW w:w="1480" w:type="dxa"/>
            <w:vAlign w:val="bottom"/>
            <w:shd w:val="clear" w:color="auto" w:fill="D7E7F5"/>
          </w:tcPr>
          <w:p>
            <w:pPr>
              <w:spacing w:after="0"/>
              <w:rPr>
                <w:sz w:val="21"/>
                <w:szCs w:val="21"/>
                <w:color w:val="auto"/>
              </w:rPr>
            </w:pPr>
          </w:p>
        </w:tc>
      </w:tr>
      <w:tr>
        <w:trPr>
          <w:trHeight w:val="203"/>
        </w:trPr>
        <w:tc>
          <w:tcPr>
            <w:tcW w:w="4720" w:type="dxa"/>
            <w:vAlign w:val="bottom"/>
            <w:shd w:val="clear" w:color="auto" w:fill="D7E7F5"/>
          </w:tcPr>
          <w:p>
            <w:pPr>
              <w:ind w:left="100"/>
              <w:spacing w:after="0" w:line="202" w:lineRule="exact"/>
              <w:rPr>
                <w:sz w:val="20"/>
                <w:szCs w:val="20"/>
                <w:color w:val="auto"/>
              </w:rPr>
            </w:pPr>
            <w:r>
              <w:rPr>
                <w:rFonts w:ascii="Arial" w:cs="Arial" w:eastAsia="Arial" w:hAnsi="Arial"/>
                <w:sz w:val="18"/>
                <w:szCs w:val="18"/>
                <w:color w:val="auto"/>
              </w:rPr>
              <w:t>Edif. Centro de Comercio Internacional</w:t>
            </w:r>
          </w:p>
        </w:tc>
        <w:tc>
          <w:tcPr>
            <w:tcW w:w="1200" w:type="dxa"/>
            <w:vAlign w:val="bottom"/>
            <w:shd w:val="clear" w:color="auto" w:fill="D7E7F5"/>
          </w:tcPr>
          <w:p>
            <w:pPr>
              <w:spacing w:after="0"/>
              <w:rPr>
                <w:sz w:val="17"/>
                <w:szCs w:val="17"/>
                <w:color w:val="auto"/>
              </w:rPr>
            </w:pPr>
          </w:p>
        </w:tc>
        <w:tc>
          <w:tcPr>
            <w:tcW w:w="1460" w:type="dxa"/>
            <w:vAlign w:val="bottom"/>
            <w:shd w:val="clear" w:color="auto" w:fill="D7E7F5"/>
          </w:tcPr>
          <w:p>
            <w:pPr>
              <w:spacing w:after="0"/>
              <w:rPr>
                <w:sz w:val="17"/>
                <w:szCs w:val="17"/>
                <w:color w:val="auto"/>
              </w:rPr>
            </w:pPr>
          </w:p>
        </w:tc>
        <w:tc>
          <w:tcPr>
            <w:tcW w:w="1480" w:type="dxa"/>
            <w:vAlign w:val="bottom"/>
            <w:shd w:val="clear" w:color="auto" w:fill="D7E7F5"/>
          </w:tcPr>
          <w:p>
            <w:pPr>
              <w:spacing w:after="0"/>
              <w:rPr>
                <w:sz w:val="17"/>
                <w:szCs w:val="17"/>
                <w:color w:val="auto"/>
              </w:rPr>
            </w:pPr>
          </w:p>
        </w:tc>
      </w:tr>
      <w:tr>
        <w:trPr>
          <w:trHeight w:val="203"/>
        </w:trPr>
        <w:tc>
          <w:tcPr>
            <w:tcW w:w="4720" w:type="dxa"/>
            <w:vAlign w:val="bottom"/>
            <w:shd w:val="clear" w:color="auto" w:fill="D7E7F5"/>
          </w:tcPr>
          <w:p>
            <w:pPr>
              <w:ind w:left="100"/>
              <w:spacing w:after="0" w:line="202" w:lineRule="exact"/>
              <w:rPr>
                <w:sz w:val="20"/>
                <w:szCs w:val="20"/>
                <w:color w:val="auto"/>
              </w:rPr>
            </w:pPr>
            <w:r>
              <w:rPr>
                <w:rFonts w:ascii="Arial" w:cs="Arial" w:eastAsia="Arial" w:hAnsi="Arial"/>
                <w:sz w:val="18"/>
                <w:szCs w:val="18"/>
                <w:color w:val="auto"/>
              </w:rPr>
              <w:t>Calle 28 No. 13A-15</w:t>
            </w:r>
          </w:p>
        </w:tc>
        <w:tc>
          <w:tcPr>
            <w:tcW w:w="1200" w:type="dxa"/>
            <w:vAlign w:val="bottom"/>
            <w:shd w:val="clear" w:color="auto" w:fill="D7E7F5"/>
          </w:tcPr>
          <w:p>
            <w:pPr>
              <w:spacing w:after="0"/>
              <w:rPr>
                <w:sz w:val="17"/>
                <w:szCs w:val="17"/>
                <w:color w:val="auto"/>
              </w:rPr>
            </w:pPr>
          </w:p>
        </w:tc>
        <w:tc>
          <w:tcPr>
            <w:tcW w:w="1460" w:type="dxa"/>
            <w:vAlign w:val="bottom"/>
            <w:shd w:val="clear" w:color="auto" w:fill="D7E7F5"/>
          </w:tcPr>
          <w:p>
            <w:pPr>
              <w:spacing w:after="0"/>
              <w:rPr>
                <w:sz w:val="17"/>
                <w:szCs w:val="17"/>
                <w:color w:val="auto"/>
              </w:rPr>
            </w:pPr>
          </w:p>
        </w:tc>
        <w:tc>
          <w:tcPr>
            <w:tcW w:w="1480" w:type="dxa"/>
            <w:vAlign w:val="bottom"/>
            <w:shd w:val="clear" w:color="auto" w:fill="D7E7F5"/>
          </w:tcPr>
          <w:p>
            <w:pPr>
              <w:spacing w:after="0"/>
              <w:rPr>
                <w:sz w:val="17"/>
                <w:szCs w:val="17"/>
                <w:color w:val="auto"/>
              </w:rPr>
            </w:pPr>
          </w:p>
        </w:tc>
      </w:tr>
      <w:tr>
        <w:trPr>
          <w:trHeight w:val="273"/>
        </w:trPr>
        <w:tc>
          <w:tcPr>
            <w:tcW w:w="472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C.P. 110311 Bogotá, Colombia</w:t>
            </w:r>
          </w:p>
        </w:tc>
        <w:tc>
          <w:tcPr>
            <w:tcW w:w="120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488,547</w:t>
            </w:r>
          </w:p>
        </w:tc>
        <w:tc>
          <w:tcPr>
            <w:tcW w:w="1460" w:type="dxa"/>
            <w:vAlign w:val="bottom"/>
            <w:tcBorders>
              <w:bottom w:val="single" w:sz="8" w:color="D7E7F5"/>
            </w:tcBorders>
            <w:shd w:val="clear" w:color="auto" w:fill="D7E7F5"/>
          </w:tcPr>
          <w:p>
            <w:pPr>
              <w:jc w:val="right"/>
              <w:ind w:right="332"/>
              <w:spacing w:after="0"/>
              <w:rPr>
                <w:sz w:val="20"/>
                <w:szCs w:val="20"/>
                <w:color w:val="auto"/>
              </w:rPr>
            </w:pPr>
            <w:r>
              <w:rPr>
                <w:rFonts w:ascii="Arial" w:cs="Arial" w:eastAsia="Arial" w:hAnsi="Arial"/>
                <w:sz w:val="18"/>
                <w:szCs w:val="18"/>
                <w:color w:val="auto"/>
              </w:rPr>
              <w:t>7.7</w:t>
            </w:r>
          </w:p>
        </w:tc>
        <w:tc>
          <w:tcPr>
            <w:tcW w:w="148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1.2</w:t>
            </w:r>
          </w:p>
        </w:tc>
      </w:tr>
      <w:tr>
        <w:trPr>
          <w:trHeight w:val="247"/>
        </w:trPr>
        <w:tc>
          <w:tcPr>
            <w:tcW w:w="4720" w:type="dxa"/>
            <w:vAlign w:val="bottom"/>
          </w:tcPr>
          <w:p>
            <w:pPr>
              <w:ind w:left="100"/>
              <w:spacing w:after="0"/>
              <w:rPr>
                <w:sz w:val="20"/>
                <w:szCs w:val="20"/>
                <w:color w:val="auto"/>
              </w:rPr>
            </w:pPr>
            <w:r>
              <w:rPr>
                <w:rFonts w:ascii="Arial" w:cs="Arial" w:eastAsia="Arial" w:hAnsi="Arial"/>
                <w:sz w:val="18"/>
                <w:szCs w:val="18"/>
                <w:color w:val="auto"/>
              </w:rPr>
              <w:t>Banco de la Nación (Perú)</w:t>
            </w:r>
          </w:p>
        </w:tc>
        <w:tc>
          <w:tcPr>
            <w:tcW w:w="120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1480" w:type="dxa"/>
            <w:vAlign w:val="bottom"/>
          </w:tcPr>
          <w:p>
            <w:pPr>
              <w:spacing w:after="0"/>
              <w:rPr>
                <w:sz w:val="21"/>
                <w:szCs w:val="21"/>
                <w:color w:val="auto"/>
              </w:rPr>
            </w:pPr>
          </w:p>
        </w:tc>
      </w:tr>
      <w:tr>
        <w:trPr>
          <w:trHeight w:val="203"/>
        </w:trPr>
        <w:tc>
          <w:tcPr>
            <w:tcW w:w="4720" w:type="dxa"/>
            <w:vAlign w:val="bottom"/>
          </w:tcPr>
          <w:p>
            <w:pPr>
              <w:ind w:left="100"/>
              <w:spacing w:after="0" w:line="202" w:lineRule="exact"/>
              <w:rPr>
                <w:sz w:val="20"/>
                <w:szCs w:val="20"/>
                <w:color w:val="auto"/>
              </w:rPr>
            </w:pPr>
            <w:r>
              <w:rPr>
                <w:rFonts w:ascii="Arial" w:cs="Arial" w:eastAsia="Arial" w:hAnsi="Arial"/>
                <w:sz w:val="18"/>
                <w:szCs w:val="18"/>
                <w:color w:val="auto"/>
              </w:rPr>
              <w:t>Ave. República de Panamá 3664</w:t>
            </w:r>
          </w:p>
        </w:tc>
        <w:tc>
          <w:tcPr>
            <w:tcW w:w="1200" w:type="dxa"/>
            <w:vAlign w:val="bottom"/>
          </w:tcPr>
          <w:p>
            <w:pPr>
              <w:spacing w:after="0"/>
              <w:rPr>
                <w:sz w:val="17"/>
                <w:szCs w:val="17"/>
                <w:color w:val="auto"/>
              </w:rPr>
            </w:pPr>
          </w:p>
        </w:tc>
        <w:tc>
          <w:tcPr>
            <w:tcW w:w="1460" w:type="dxa"/>
            <w:vAlign w:val="bottom"/>
          </w:tcPr>
          <w:p>
            <w:pPr>
              <w:spacing w:after="0"/>
              <w:rPr>
                <w:sz w:val="17"/>
                <w:szCs w:val="17"/>
                <w:color w:val="auto"/>
              </w:rPr>
            </w:pPr>
          </w:p>
        </w:tc>
        <w:tc>
          <w:tcPr>
            <w:tcW w:w="1480" w:type="dxa"/>
            <w:vAlign w:val="bottom"/>
          </w:tcPr>
          <w:p>
            <w:pPr>
              <w:spacing w:after="0"/>
              <w:rPr>
                <w:sz w:val="17"/>
                <w:szCs w:val="17"/>
                <w:color w:val="auto"/>
              </w:rPr>
            </w:pPr>
          </w:p>
        </w:tc>
      </w:tr>
      <w:tr>
        <w:trPr>
          <w:trHeight w:val="243"/>
        </w:trPr>
        <w:tc>
          <w:tcPr>
            <w:tcW w:w="4720" w:type="dxa"/>
            <w:vAlign w:val="bottom"/>
          </w:tcPr>
          <w:p>
            <w:pPr>
              <w:ind w:left="100"/>
              <w:spacing w:after="0"/>
              <w:rPr>
                <w:sz w:val="20"/>
                <w:szCs w:val="20"/>
                <w:color w:val="auto"/>
              </w:rPr>
            </w:pPr>
            <w:r>
              <w:rPr>
                <w:rFonts w:ascii="Arial" w:cs="Arial" w:eastAsia="Arial" w:hAnsi="Arial"/>
                <w:sz w:val="18"/>
                <w:szCs w:val="18"/>
                <w:color w:val="auto"/>
              </w:rPr>
              <w:t>San Isidro, Lima, Perú</w:t>
            </w:r>
          </w:p>
        </w:tc>
        <w:tc>
          <w:tcPr>
            <w:tcW w:w="1200" w:type="dxa"/>
            <w:vAlign w:val="bottom"/>
          </w:tcPr>
          <w:p>
            <w:pPr>
              <w:jc w:val="right"/>
              <w:spacing w:after="0"/>
              <w:rPr>
                <w:sz w:val="20"/>
                <w:szCs w:val="20"/>
                <w:color w:val="auto"/>
              </w:rPr>
            </w:pPr>
            <w:r>
              <w:rPr>
                <w:rFonts w:ascii="Arial" w:cs="Arial" w:eastAsia="Arial" w:hAnsi="Arial"/>
                <w:sz w:val="18"/>
                <w:szCs w:val="18"/>
                <w:color w:val="auto"/>
              </w:rPr>
              <w:t>446,556</w:t>
            </w:r>
          </w:p>
        </w:tc>
        <w:tc>
          <w:tcPr>
            <w:tcW w:w="1460" w:type="dxa"/>
            <w:vAlign w:val="bottom"/>
          </w:tcPr>
          <w:p>
            <w:pPr>
              <w:jc w:val="right"/>
              <w:ind w:right="332"/>
              <w:spacing w:after="0"/>
              <w:rPr>
                <w:sz w:val="20"/>
                <w:szCs w:val="20"/>
                <w:color w:val="auto"/>
              </w:rPr>
            </w:pPr>
            <w:r>
              <w:rPr>
                <w:rFonts w:ascii="Arial" w:cs="Arial" w:eastAsia="Arial" w:hAnsi="Arial"/>
                <w:sz w:val="18"/>
                <w:szCs w:val="18"/>
                <w:color w:val="auto"/>
              </w:rPr>
              <w:t>7.0</w:t>
            </w:r>
          </w:p>
        </w:tc>
        <w:tc>
          <w:tcPr>
            <w:tcW w:w="1480" w:type="dxa"/>
            <w:vAlign w:val="bottom"/>
          </w:tcPr>
          <w:p>
            <w:pPr>
              <w:jc w:val="right"/>
              <w:ind w:right="393"/>
              <w:spacing w:after="0"/>
              <w:rPr>
                <w:sz w:val="20"/>
                <w:szCs w:val="20"/>
                <w:color w:val="auto"/>
              </w:rPr>
            </w:pPr>
            <w:r>
              <w:rPr>
                <w:rFonts w:ascii="Arial" w:cs="Arial" w:eastAsia="Arial" w:hAnsi="Arial"/>
                <w:sz w:val="18"/>
                <w:szCs w:val="18"/>
                <w:color w:val="auto"/>
              </w:rPr>
              <w:t>1.1</w:t>
            </w:r>
          </w:p>
        </w:tc>
      </w:tr>
      <w:tr>
        <w:trPr>
          <w:trHeight w:val="50"/>
        </w:trPr>
        <w:tc>
          <w:tcPr>
            <w:tcW w:w="4720" w:type="dxa"/>
            <w:vAlign w:val="bottom"/>
          </w:tcPr>
          <w:p>
            <w:pPr>
              <w:spacing w:after="0"/>
              <w:rPr>
                <w:sz w:val="4"/>
                <w:szCs w:val="4"/>
                <w:color w:val="auto"/>
              </w:rPr>
            </w:pPr>
          </w:p>
        </w:tc>
        <w:tc>
          <w:tcPr>
            <w:tcW w:w="1200" w:type="dxa"/>
            <w:vAlign w:val="bottom"/>
          </w:tcPr>
          <w:p>
            <w:pPr>
              <w:spacing w:after="0"/>
              <w:rPr>
                <w:sz w:val="4"/>
                <w:szCs w:val="4"/>
                <w:color w:val="auto"/>
              </w:rPr>
            </w:pPr>
          </w:p>
        </w:tc>
        <w:tc>
          <w:tcPr>
            <w:tcW w:w="1460" w:type="dxa"/>
            <w:vAlign w:val="bottom"/>
          </w:tcPr>
          <w:p>
            <w:pPr>
              <w:spacing w:after="0"/>
              <w:rPr>
                <w:sz w:val="4"/>
                <w:szCs w:val="4"/>
                <w:color w:val="auto"/>
              </w:rPr>
            </w:pPr>
          </w:p>
        </w:tc>
        <w:tc>
          <w:tcPr>
            <w:tcW w:w="1480" w:type="dxa"/>
            <w:vAlign w:val="bottom"/>
          </w:tcPr>
          <w:p>
            <w:pPr>
              <w:spacing w:after="0"/>
              <w:rPr>
                <w:sz w:val="4"/>
                <w:szCs w:val="4"/>
                <w:color w:val="auto"/>
              </w:rPr>
            </w:pPr>
          </w:p>
        </w:tc>
      </w:tr>
      <w:tr>
        <w:trPr>
          <w:trHeight w:val="247"/>
        </w:trPr>
        <w:tc>
          <w:tcPr>
            <w:tcW w:w="47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Banco Central del Paraguay</w:t>
            </w:r>
          </w:p>
        </w:tc>
        <w:tc>
          <w:tcPr>
            <w:tcW w:w="1200" w:type="dxa"/>
            <w:vAlign w:val="bottom"/>
            <w:shd w:val="clear" w:color="auto" w:fill="D7E7F5"/>
          </w:tcPr>
          <w:p>
            <w:pPr>
              <w:spacing w:after="0"/>
              <w:rPr>
                <w:sz w:val="21"/>
                <w:szCs w:val="21"/>
                <w:color w:val="auto"/>
              </w:rPr>
            </w:pPr>
          </w:p>
        </w:tc>
        <w:tc>
          <w:tcPr>
            <w:tcW w:w="1460" w:type="dxa"/>
            <w:vAlign w:val="bottom"/>
            <w:shd w:val="clear" w:color="auto" w:fill="D7E7F5"/>
          </w:tcPr>
          <w:p>
            <w:pPr>
              <w:spacing w:after="0"/>
              <w:rPr>
                <w:sz w:val="21"/>
                <w:szCs w:val="21"/>
                <w:color w:val="auto"/>
              </w:rPr>
            </w:pPr>
          </w:p>
        </w:tc>
        <w:tc>
          <w:tcPr>
            <w:tcW w:w="1480" w:type="dxa"/>
            <w:vAlign w:val="bottom"/>
            <w:shd w:val="clear" w:color="auto" w:fill="D7E7F5"/>
          </w:tcPr>
          <w:p>
            <w:pPr>
              <w:spacing w:after="0"/>
              <w:rPr>
                <w:sz w:val="21"/>
                <w:szCs w:val="21"/>
                <w:color w:val="auto"/>
              </w:rPr>
            </w:pPr>
          </w:p>
        </w:tc>
      </w:tr>
      <w:tr>
        <w:trPr>
          <w:trHeight w:val="203"/>
        </w:trPr>
        <w:tc>
          <w:tcPr>
            <w:tcW w:w="4720" w:type="dxa"/>
            <w:vAlign w:val="bottom"/>
            <w:shd w:val="clear" w:color="auto" w:fill="D7E7F5"/>
          </w:tcPr>
          <w:p>
            <w:pPr>
              <w:ind w:left="100"/>
              <w:spacing w:after="0" w:line="202" w:lineRule="exact"/>
              <w:rPr>
                <w:sz w:val="20"/>
                <w:szCs w:val="20"/>
                <w:color w:val="auto"/>
              </w:rPr>
            </w:pPr>
            <w:r>
              <w:rPr>
                <w:rFonts w:ascii="Arial" w:cs="Arial" w:eastAsia="Arial" w:hAnsi="Arial"/>
                <w:sz w:val="18"/>
                <w:szCs w:val="18"/>
                <w:color w:val="auto"/>
              </w:rPr>
              <w:t>Federación Rusa y Augusto Roa Bastos</w:t>
            </w:r>
          </w:p>
        </w:tc>
        <w:tc>
          <w:tcPr>
            <w:tcW w:w="1200" w:type="dxa"/>
            <w:vAlign w:val="bottom"/>
            <w:shd w:val="clear" w:color="auto" w:fill="D7E7F5"/>
          </w:tcPr>
          <w:p>
            <w:pPr>
              <w:spacing w:after="0"/>
              <w:rPr>
                <w:sz w:val="17"/>
                <w:szCs w:val="17"/>
                <w:color w:val="auto"/>
              </w:rPr>
            </w:pPr>
          </w:p>
        </w:tc>
        <w:tc>
          <w:tcPr>
            <w:tcW w:w="1460" w:type="dxa"/>
            <w:vAlign w:val="bottom"/>
            <w:shd w:val="clear" w:color="auto" w:fill="D7E7F5"/>
          </w:tcPr>
          <w:p>
            <w:pPr>
              <w:spacing w:after="0"/>
              <w:rPr>
                <w:sz w:val="17"/>
                <w:szCs w:val="17"/>
                <w:color w:val="auto"/>
              </w:rPr>
            </w:pPr>
          </w:p>
        </w:tc>
        <w:tc>
          <w:tcPr>
            <w:tcW w:w="1480" w:type="dxa"/>
            <w:vAlign w:val="bottom"/>
            <w:shd w:val="clear" w:color="auto" w:fill="D7E7F5"/>
          </w:tcPr>
          <w:p>
            <w:pPr>
              <w:spacing w:after="0"/>
              <w:rPr>
                <w:sz w:val="17"/>
                <w:szCs w:val="17"/>
                <w:color w:val="auto"/>
              </w:rPr>
            </w:pPr>
          </w:p>
        </w:tc>
      </w:tr>
      <w:tr>
        <w:trPr>
          <w:trHeight w:val="273"/>
        </w:trPr>
        <w:tc>
          <w:tcPr>
            <w:tcW w:w="472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Asunción, Paraguay</w:t>
            </w:r>
          </w:p>
        </w:tc>
        <w:tc>
          <w:tcPr>
            <w:tcW w:w="120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434,658</w:t>
            </w:r>
          </w:p>
        </w:tc>
        <w:tc>
          <w:tcPr>
            <w:tcW w:w="1460" w:type="dxa"/>
            <w:vAlign w:val="bottom"/>
            <w:tcBorders>
              <w:bottom w:val="single" w:sz="8" w:color="D7E7F5"/>
            </w:tcBorders>
            <w:shd w:val="clear" w:color="auto" w:fill="D7E7F5"/>
          </w:tcPr>
          <w:p>
            <w:pPr>
              <w:jc w:val="right"/>
              <w:ind w:right="332"/>
              <w:spacing w:after="0"/>
              <w:rPr>
                <w:sz w:val="20"/>
                <w:szCs w:val="20"/>
                <w:color w:val="auto"/>
              </w:rPr>
            </w:pPr>
            <w:r>
              <w:rPr>
                <w:rFonts w:ascii="Arial" w:cs="Arial" w:eastAsia="Arial" w:hAnsi="Arial"/>
                <w:sz w:val="18"/>
                <w:szCs w:val="18"/>
                <w:color w:val="auto"/>
              </w:rPr>
              <w:t>6.9</w:t>
            </w:r>
          </w:p>
        </w:tc>
        <w:tc>
          <w:tcPr>
            <w:tcW w:w="148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1.1</w:t>
            </w:r>
          </w:p>
        </w:tc>
      </w:tr>
      <w:tr>
        <w:trPr>
          <w:trHeight w:val="247"/>
        </w:trPr>
        <w:tc>
          <w:tcPr>
            <w:tcW w:w="4720" w:type="dxa"/>
            <w:vAlign w:val="bottom"/>
          </w:tcPr>
          <w:p>
            <w:pPr>
              <w:ind w:left="100"/>
              <w:spacing w:after="0"/>
              <w:rPr>
                <w:sz w:val="20"/>
                <w:szCs w:val="20"/>
                <w:color w:val="auto"/>
              </w:rPr>
            </w:pPr>
            <w:r>
              <w:rPr>
                <w:rFonts w:ascii="Arial" w:cs="Arial" w:eastAsia="Arial" w:hAnsi="Arial"/>
                <w:sz w:val="18"/>
                <w:szCs w:val="18"/>
                <w:color w:val="auto"/>
              </w:rPr>
              <w:t>Banco Central del Ecuador</w:t>
            </w:r>
          </w:p>
        </w:tc>
        <w:tc>
          <w:tcPr>
            <w:tcW w:w="120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1480" w:type="dxa"/>
            <w:vAlign w:val="bottom"/>
          </w:tcPr>
          <w:p>
            <w:pPr>
              <w:spacing w:after="0"/>
              <w:rPr>
                <w:sz w:val="21"/>
                <w:szCs w:val="21"/>
                <w:color w:val="auto"/>
              </w:rPr>
            </w:pPr>
          </w:p>
        </w:tc>
      </w:tr>
      <w:tr>
        <w:trPr>
          <w:trHeight w:val="203"/>
        </w:trPr>
        <w:tc>
          <w:tcPr>
            <w:tcW w:w="4720" w:type="dxa"/>
            <w:vAlign w:val="bottom"/>
          </w:tcPr>
          <w:p>
            <w:pPr>
              <w:ind w:left="100"/>
              <w:spacing w:after="0" w:line="202" w:lineRule="exact"/>
              <w:rPr>
                <w:sz w:val="20"/>
                <w:szCs w:val="20"/>
                <w:color w:val="auto"/>
              </w:rPr>
            </w:pPr>
            <w:r>
              <w:rPr>
                <w:rFonts w:ascii="Arial" w:cs="Arial" w:eastAsia="Arial" w:hAnsi="Arial"/>
                <w:sz w:val="18"/>
                <w:szCs w:val="18"/>
                <w:color w:val="auto"/>
              </w:rPr>
              <w:t>Ave. 10 de Agosto N11-409 y Briceño</w:t>
            </w:r>
          </w:p>
        </w:tc>
        <w:tc>
          <w:tcPr>
            <w:tcW w:w="1200" w:type="dxa"/>
            <w:vAlign w:val="bottom"/>
          </w:tcPr>
          <w:p>
            <w:pPr>
              <w:spacing w:after="0"/>
              <w:rPr>
                <w:sz w:val="17"/>
                <w:szCs w:val="17"/>
                <w:color w:val="auto"/>
              </w:rPr>
            </w:pPr>
          </w:p>
        </w:tc>
        <w:tc>
          <w:tcPr>
            <w:tcW w:w="1460" w:type="dxa"/>
            <w:vAlign w:val="bottom"/>
          </w:tcPr>
          <w:p>
            <w:pPr>
              <w:spacing w:after="0"/>
              <w:rPr>
                <w:sz w:val="17"/>
                <w:szCs w:val="17"/>
                <w:color w:val="auto"/>
              </w:rPr>
            </w:pPr>
          </w:p>
        </w:tc>
        <w:tc>
          <w:tcPr>
            <w:tcW w:w="1480" w:type="dxa"/>
            <w:vAlign w:val="bottom"/>
          </w:tcPr>
          <w:p>
            <w:pPr>
              <w:spacing w:after="0"/>
              <w:rPr>
                <w:sz w:val="17"/>
                <w:szCs w:val="17"/>
                <w:color w:val="auto"/>
              </w:rPr>
            </w:pPr>
          </w:p>
        </w:tc>
      </w:tr>
      <w:tr>
        <w:trPr>
          <w:trHeight w:val="243"/>
        </w:trPr>
        <w:tc>
          <w:tcPr>
            <w:tcW w:w="4720" w:type="dxa"/>
            <w:vAlign w:val="bottom"/>
          </w:tcPr>
          <w:p>
            <w:pPr>
              <w:ind w:left="100"/>
              <w:spacing w:after="0"/>
              <w:rPr>
                <w:sz w:val="20"/>
                <w:szCs w:val="20"/>
                <w:color w:val="auto"/>
              </w:rPr>
            </w:pPr>
            <w:r>
              <w:rPr>
                <w:rFonts w:ascii="Arial" w:cs="Arial" w:eastAsia="Arial" w:hAnsi="Arial"/>
                <w:sz w:val="18"/>
                <w:szCs w:val="18"/>
                <w:color w:val="auto"/>
              </w:rPr>
              <w:t>Quito, Ecuador</w:t>
            </w:r>
          </w:p>
        </w:tc>
        <w:tc>
          <w:tcPr>
            <w:tcW w:w="1200" w:type="dxa"/>
            <w:vAlign w:val="bottom"/>
          </w:tcPr>
          <w:p>
            <w:pPr>
              <w:jc w:val="right"/>
              <w:spacing w:after="0"/>
              <w:rPr>
                <w:sz w:val="20"/>
                <w:szCs w:val="20"/>
                <w:color w:val="auto"/>
              </w:rPr>
            </w:pPr>
            <w:r>
              <w:rPr>
                <w:rFonts w:ascii="Arial" w:cs="Arial" w:eastAsia="Arial" w:hAnsi="Arial"/>
                <w:sz w:val="18"/>
                <w:szCs w:val="18"/>
                <w:color w:val="auto"/>
              </w:rPr>
              <w:t>431,217</w:t>
            </w:r>
          </w:p>
        </w:tc>
        <w:tc>
          <w:tcPr>
            <w:tcW w:w="1460" w:type="dxa"/>
            <w:vAlign w:val="bottom"/>
          </w:tcPr>
          <w:p>
            <w:pPr>
              <w:jc w:val="right"/>
              <w:ind w:right="332"/>
              <w:spacing w:after="0"/>
              <w:rPr>
                <w:sz w:val="20"/>
                <w:szCs w:val="20"/>
                <w:color w:val="auto"/>
              </w:rPr>
            </w:pPr>
            <w:r>
              <w:rPr>
                <w:rFonts w:ascii="Arial" w:cs="Arial" w:eastAsia="Arial" w:hAnsi="Arial"/>
                <w:sz w:val="18"/>
                <w:szCs w:val="18"/>
                <w:color w:val="auto"/>
              </w:rPr>
              <w:t>6.8</w:t>
            </w:r>
          </w:p>
        </w:tc>
        <w:tc>
          <w:tcPr>
            <w:tcW w:w="1480" w:type="dxa"/>
            <w:vAlign w:val="bottom"/>
          </w:tcPr>
          <w:p>
            <w:pPr>
              <w:jc w:val="right"/>
              <w:ind w:right="393"/>
              <w:spacing w:after="0"/>
              <w:rPr>
                <w:sz w:val="20"/>
                <w:szCs w:val="20"/>
                <w:color w:val="auto"/>
              </w:rPr>
            </w:pPr>
            <w:r>
              <w:rPr>
                <w:rFonts w:ascii="Arial" w:cs="Arial" w:eastAsia="Arial" w:hAnsi="Arial"/>
                <w:sz w:val="18"/>
                <w:szCs w:val="18"/>
                <w:color w:val="auto"/>
              </w:rPr>
              <w:t>1.1</w:t>
            </w:r>
          </w:p>
        </w:tc>
      </w:tr>
      <w:tr>
        <w:trPr>
          <w:trHeight w:val="50"/>
        </w:trPr>
        <w:tc>
          <w:tcPr>
            <w:tcW w:w="4720" w:type="dxa"/>
            <w:vAlign w:val="bottom"/>
          </w:tcPr>
          <w:p>
            <w:pPr>
              <w:spacing w:after="0"/>
              <w:rPr>
                <w:sz w:val="4"/>
                <w:szCs w:val="4"/>
                <w:color w:val="auto"/>
              </w:rPr>
            </w:pPr>
          </w:p>
        </w:tc>
        <w:tc>
          <w:tcPr>
            <w:tcW w:w="1200" w:type="dxa"/>
            <w:vAlign w:val="bottom"/>
          </w:tcPr>
          <w:p>
            <w:pPr>
              <w:spacing w:after="0"/>
              <w:rPr>
                <w:sz w:val="4"/>
                <w:szCs w:val="4"/>
                <w:color w:val="auto"/>
              </w:rPr>
            </w:pPr>
          </w:p>
        </w:tc>
        <w:tc>
          <w:tcPr>
            <w:tcW w:w="1460" w:type="dxa"/>
            <w:vAlign w:val="bottom"/>
          </w:tcPr>
          <w:p>
            <w:pPr>
              <w:spacing w:after="0"/>
              <w:rPr>
                <w:sz w:val="4"/>
                <w:szCs w:val="4"/>
                <w:color w:val="auto"/>
              </w:rPr>
            </w:pPr>
          </w:p>
        </w:tc>
        <w:tc>
          <w:tcPr>
            <w:tcW w:w="1480" w:type="dxa"/>
            <w:vAlign w:val="bottom"/>
          </w:tcPr>
          <w:p>
            <w:pPr>
              <w:spacing w:after="0"/>
              <w:rPr>
                <w:sz w:val="4"/>
                <w:szCs w:val="4"/>
                <w:color w:val="auto"/>
              </w:rPr>
            </w:pPr>
          </w:p>
        </w:tc>
      </w:tr>
      <w:tr>
        <w:trPr>
          <w:trHeight w:val="247"/>
        </w:trPr>
        <w:tc>
          <w:tcPr>
            <w:tcW w:w="47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Banco del Estado de Chile</w:t>
            </w:r>
          </w:p>
        </w:tc>
        <w:tc>
          <w:tcPr>
            <w:tcW w:w="1200" w:type="dxa"/>
            <w:vAlign w:val="bottom"/>
            <w:shd w:val="clear" w:color="auto" w:fill="D7E7F5"/>
          </w:tcPr>
          <w:p>
            <w:pPr>
              <w:spacing w:after="0"/>
              <w:rPr>
                <w:sz w:val="21"/>
                <w:szCs w:val="21"/>
                <w:color w:val="auto"/>
              </w:rPr>
            </w:pPr>
          </w:p>
        </w:tc>
        <w:tc>
          <w:tcPr>
            <w:tcW w:w="1460" w:type="dxa"/>
            <w:vAlign w:val="bottom"/>
            <w:shd w:val="clear" w:color="auto" w:fill="D7E7F5"/>
          </w:tcPr>
          <w:p>
            <w:pPr>
              <w:spacing w:after="0"/>
              <w:rPr>
                <w:sz w:val="21"/>
                <w:szCs w:val="21"/>
                <w:color w:val="auto"/>
              </w:rPr>
            </w:pPr>
          </w:p>
        </w:tc>
        <w:tc>
          <w:tcPr>
            <w:tcW w:w="1480" w:type="dxa"/>
            <w:vAlign w:val="bottom"/>
            <w:shd w:val="clear" w:color="auto" w:fill="D7E7F5"/>
          </w:tcPr>
          <w:p>
            <w:pPr>
              <w:spacing w:after="0"/>
              <w:rPr>
                <w:sz w:val="21"/>
                <w:szCs w:val="21"/>
                <w:color w:val="auto"/>
              </w:rPr>
            </w:pPr>
          </w:p>
        </w:tc>
      </w:tr>
      <w:tr>
        <w:trPr>
          <w:trHeight w:val="203"/>
        </w:trPr>
        <w:tc>
          <w:tcPr>
            <w:tcW w:w="4720" w:type="dxa"/>
            <w:vAlign w:val="bottom"/>
            <w:shd w:val="clear" w:color="auto" w:fill="D7E7F5"/>
          </w:tcPr>
          <w:p>
            <w:pPr>
              <w:ind w:left="100"/>
              <w:spacing w:after="0" w:line="202" w:lineRule="exact"/>
              <w:rPr>
                <w:sz w:val="20"/>
                <w:szCs w:val="20"/>
                <w:color w:val="auto"/>
              </w:rPr>
            </w:pPr>
            <w:r>
              <w:rPr>
                <w:rFonts w:ascii="Arial" w:cs="Arial" w:eastAsia="Arial" w:hAnsi="Arial"/>
                <w:sz w:val="18"/>
                <w:szCs w:val="18"/>
                <w:color w:val="auto"/>
              </w:rPr>
              <w:t>Ave. Libertador Bernardo O'Higgins No.1111</w:t>
            </w:r>
          </w:p>
        </w:tc>
        <w:tc>
          <w:tcPr>
            <w:tcW w:w="1200" w:type="dxa"/>
            <w:vAlign w:val="bottom"/>
            <w:shd w:val="clear" w:color="auto" w:fill="D7E7F5"/>
          </w:tcPr>
          <w:p>
            <w:pPr>
              <w:spacing w:after="0"/>
              <w:rPr>
                <w:sz w:val="17"/>
                <w:szCs w:val="17"/>
                <w:color w:val="auto"/>
              </w:rPr>
            </w:pPr>
          </w:p>
        </w:tc>
        <w:tc>
          <w:tcPr>
            <w:tcW w:w="1460" w:type="dxa"/>
            <w:vAlign w:val="bottom"/>
            <w:shd w:val="clear" w:color="auto" w:fill="D7E7F5"/>
          </w:tcPr>
          <w:p>
            <w:pPr>
              <w:spacing w:after="0"/>
              <w:rPr>
                <w:sz w:val="17"/>
                <w:szCs w:val="17"/>
                <w:color w:val="auto"/>
              </w:rPr>
            </w:pPr>
          </w:p>
        </w:tc>
        <w:tc>
          <w:tcPr>
            <w:tcW w:w="1480" w:type="dxa"/>
            <w:vAlign w:val="bottom"/>
            <w:shd w:val="clear" w:color="auto" w:fill="D7E7F5"/>
          </w:tcPr>
          <w:p>
            <w:pPr>
              <w:spacing w:after="0"/>
              <w:rPr>
                <w:sz w:val="17"/>
                <w:szCs w:val="17"/>
                <w:color w:val="auto"/>
              </w:rPr>
            </w:pPr>
          </w:p>
        </w:tc>
      </w:tr>
      <w:tr>
        <w:trPr>
          <w:trHeight w:val="273"/>
        </w:trPr>
        <w:tc>
          <w:tcPr>
            <w:tcW w:w="472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Santiago, Chile</w:t>
            </w:r>
          </w:p>
        </w:tc>
        <w:tc>
          <w:tcPr>
            <w:tcW w:w="120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323,413</w:t>
            </w:r>
          </w:p>
        </w:tc>
        <w:tc>
          <w:tcPr>
            <w:tcW w:w="1460" w:type="dxa"/>
            <w:vAlign w:val="bottom"/>
            <w:tcBorders>
              <w:bottom w:val="single" w:sz="8" w:color="D7E7F5"/>
            </w:tcBorders>
            <w:shd w:val="clear" w:color="auto" w:fill="D7E7F5"/>
          </w:tcPr>
          <w:p>
            <w:pPr>
              <w:jc w:val="right"/>
              <w:ind w:right="332"/>
              <w:spacing w:after="0"/>
              <w:rPr>
                <w:sz w:val="20"/>
                <w:szCs w:val="20"/>
                <w:color w:val="auto"/>
              </w:rPr>
            </w:pPr>
            <w:r>
              <w:rPr>
                <w:rFonts w:ascii="Arial" w:cs="Arial" w:eastAsia="Arial" w:hAnsi="Arial"/>
                <w:sz w:val="18"/>
                <w:szCs w:val="18"/>
                <w:color w:val="auto"/>
              </w:rPr>
              <w:t>5.1</w:t>
            </w:r>
          </w:p>
        </w:tc>
        <w:tc>
          <w:tcPr>
            <w:tcW w:w="148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0.8</w:t>
            </w:r>
          </w:p>
        </w:tc>
      </w:tr>
      <w:tr>
        <w:trPr>
          <w:trHeight w:val="288"/>
        </w:trPr>
        <w:tc>
          <w:tcPr>
            <w:tcW w:w="4720" w:type="dxa"/>
            <w:vAlign w:val="bottom"/>
          </w:tcPr>
          <w:p>
            <w:pPr>
              <w:ind w:left="100"/>
              <w:spacing w:after="0"/>
              <w:rPr>
                <w:sz w:val="20"/>
                <w:szCs w:val="20"/>
                <w:color w:val="auto"/>
              </w:rPr>
            </w:pPr>
            <w:r>
              <w:rPr>
                <w:rFonts w:ascii="Arial" w:cs="Arial" w:eastAsia="Arial" w:hAnsi="Arial"/>
                <w:sz w:val="18"/>
                <w:szCs w:val="18"/>
                <w:color w:val="auto"/>
              </w:rPr>
              <w:t>Sub-total shares of Class A Common Stock</w:t>
            </w:r>
          </w:p>
        </w:tc>
        <w:tc>
          <w:tcPr>
            <w:tcW w:w="1200" w:type="dxa"/>
            <w:vAlign w:val="bottom"/>
          </w:tcPr>
          <w:p>
            <w:pPr>
              <w:jc w:val="right"/>
              <w:spacing w:after="0"/>
              <w:rPr>
                <w:sz w:val="20"/>
                <w:szCs w:val="20"/>
                <w:color w:val="auto"/>
              </w:rPr>
            </w:pPr>
            <w:r>
              <w:rPr>
                <w:rFonts w:ascii="Arial" w:cs="Arial" w:eastAsia="Arial" w:hAnsi="Arial"/>
                <w:sz w:val="18"/>
                <w:szCs w:val="18"/>
                <w:color w:val="auto"/>
              </w:rPr>
              <w:t>4,144,290</w:t>
            </w:r>
          </w:p>
        </w:tc>
        <w:tc>
          <w:tcPr>
            <w:tcW w:w="1460" w:type="dxa"/>
            <w:vAlign w:val="bottom"/>
          </w:tcPr>
          <w:p>
            <w:pPr>
              <w:jc w:val="right"/>
              <w:ind w:right="332"/>
              <w:spacing w:after="0"/>
              <w:rPr>
                <w:sz w:val="20"/>
                <w:szCs w:val="20"/>
                <w:color w:val="auto"/>
              </w:rPr>
            </w:pPr>
            <w:r>
              <w:rPr>
                <w:rFonts w:ascii="Arial" w:cs="Arial" w:eastAsia="Arial" w:hAnsi="Arial"/>
                <w:sz w:val="18"/>
                <w:szCs w:val="18"/>
                <w:color w:val="auto"/>
              </w:rPr>
              <w:t>65.4</w:t>
            </w:r>
          </w:p>
        </w:tc>
        <w:tc>
          <w:tcPr>
            <w:tcW w:w="1480" w:type="dxa"/>
            <w:vAlign w:val="bottom"/>
          </w:tcPr>
          <w:p>
            <w:pPr>
              <w:jc w:val="right"/>
              <w:ind w:right="373"/>
              <w:spacing w:after="0"/>
              <w:rPr>
                <w:sz w:val="20"/>
                <w:szCs w:val="20"/>
                <w:color w:val="auto"/>
              </w:rPr>
            </w:pPr>
            <w:r>
              <w:rPr>
                <w:rFonts w:ascii="Arial" w:cs="Arial" w:eastAsia="Arial" w:hAnsi="Arial"/>
                <w:sz w:val="18"/>
                <w:szCs w:val="18"/>
                <w:color w:val="auto"/>
              </w:rPr>
              <w:t>10.4</w:t>
            </w:r>
          </w:p>
        </w:tc>
      </w:tr>
      <w:tr>
        <w:trPr>
          <w:trHeight w:val="50"/>
        </w:trPr>
        <w:tc>
          <w:tcPr>
            <w:tcW w:w="4720" w:type="dxa"/>
            <w:vAlign w:val="bottom"/>
          </w:tcPr>
          <w:p>
            <w:pPr>
              <w:spacing w:after="0"/>
              <w:rPr>
                <w:sz w:val="4"/>
                <w:szCs w:val="4"/>
                <w:color w:val="auto"/>
              </w:rPr>
            </w:pPr>
          </w:p>
        </w:tc>
        <w:tc>
          <w:tcPr>
            <w:tcW w:w="1200" w:type="dxa"/>
            <w:vAlign w:val="bottom"/>
          </w:tcPr>
          <w:p>
            <w:pPr>
              <w:spacing w:after="0"/>
              <w:rPr>
                <w:sz w:val="4"/>
                <w:szCs w:val="4"/>
                <w:color w:val="auto"/>
              </w:rPr>
            </w:pPr>
          </w:p>
        </w:tc>
        <w:tc>
          <w:tcPr>
            <w:tcW w:w="1460" w:type="dxa"/>
            <w:vAlign w:val="bottom"/>
          </w:tcPr>
          <w:p>
            <w:pPr>
              <w:spacing w:after="0"/>
              <w:rPr>
                <w:sz w:val="4"/>
                <w:szCs w:val="4"/>
                <w:color w:val="auto"/>
              </w:rPr>
            </w:pPr>
          </w:p>
        </w:tc>
        <w:tc>
          <w:tcPr>
            <w:tcW w:w="1480" w:type="dxa"/>
            <w:vAlign w:val="bottom"/>
          </w:tcPr>
          <w:p>
            <w:pPr>
              <w:spacing w:after="0"/>
              <w:rPr>
                <w:sz w:val="4"/>
                <w:szCs w:val="4"/>
                <w:color w:val="auto"/>
              </w:rPr>
            </w:pPr>
          </w:p>
        </w:tc>
      </w:tr>
      <w:tr>
        <w:trPr>
          <w:trHeight w:val="329"/>
        </w:trPr>
        <w:tc>
          <w:tcPr>
            <w:tcW w:w="472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b w:val="1"/>
                <w:bCs w:val="1"/>
                <w:color w:val="auto"/>
              </w:rPr>
              <w:t>Total Shares of Class A Common Stock</w:t>
            </w:r>
          </w:p>
        </w:tc>
        <w:tc>
          <w:tcPr>
            <w:tcW w:w="120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b w:val="1"/>
                <w:bCs w:val="1"/>
                <w:color w:val="auto"/>
              </w:rPr>
              <w:t>6,342,189</w:t>
            </w:r>
          </w:p>
        </w:tc>
        <w:tc>
          <w:tcPr>
            <w:tcW w:w="1460" w:type="dxa"/>
            <w:vAlign w:val="bottom"/>
            <w:tcBorders>
              <w:bottom w:val="single" w:sz="8" w:color="D7E7F5"/>
            </w:tcBorders>
            <w:shd w:val="clear" w:color="auto" w:fill="D7E7F5"/>
          </w:tcPr>
          <w:p>
            <w:pPr>
              <w:jc w:val="right"/>
              <w:ind w:right="332"/>
              <w:spacing w:after="0"/>
              <w:rPr>
                <w:sz w:val="20"/>
                <w:szCs w:val="20"/>
                <w:color w:val="auto"/>
              </w:rPr>
            </w:pPr>
            <w:r>
              <w:rPr>
                <w:rFonts w:ascii="Arial" w:cs="Arial" w:eastAsia="Arial" w:hAnsi="Arial"/>
                <w:sz w:val="18"/>
                <w:szCs w:val="18"/>
                <w:b w:val="1"/>
                <w:bCs w:val="1"/>
                <w:color w:val="auto"/>
              </w:rPr>
              <w:t>100.0</w:t>
            </w:r>
          </w:p>
        </w:tc>
        <w:tc>
          <w:tcPr>
            <w:tcW w:w="1480" w:type="dxa"/>
            <w:vAlign w:val="bottom"/>
            <w:tcBorders>
              <w:bottom w:val="single" w:sz="8" w:color="D7E7F5"/>
            </w:tcBorders>
            <w:shd w:val="clear" w:color="auto" w:fill="D7E7F5"/>
          </w:tcPr>
          <w:p>
            <w:pPr>
              <w:jc w:val="right"/>
              <w:ind w:right="373"/>
              <w:spacing w:after="0"/>
              <w:rPr>
                <w:sz w:val="20"/>
                <w:szCs w:val="20"/>
                <w:color w:val="auto"/>
              </w:rPr>
            </w:pPr>
            <w:r>
              <w:rPr>
                <w:rFonts w:ascii="Arial" w:cs="Arial" w:eastAsia="Arial" w:hAnsi="Arial"/>
                <w:sz w:val="18"/>
                <w:szCs w:val="18"/>
                <w:b w:val="1"/>
                <w:bCs w:val="1"/>
                <w:color w:val="auto"/>
              </w:rPr>
              <w:t>16.0</w:t>
            </w:r>
          </w:p>
        </w:tc>
      </w:tr>
      <w:tr>
        <w:trPr>
          <w:trHeight w:val="61"/>
        </w:trPr>
        <w:tc>
          <w:tcPr>
            <w:tcW w:w="4720" w:type="dxa"/>
            <w:vAlign w:val="bottom"/>
            <w:tcBorders>
              <w:top w:val="single" w:sz="8" w:color="0065C1"/>
            </w:tcBorders>
          </w:tcPr>
          <w:p>
            <w:pPr>
              <w:spacing w:after="0"/>
              <w:rPr>
                <w:sz w:val="5"/>
                <w:szCs w:val="5"/>
                <w:color w:val="auto"/>
              </w:rPr>
            </w:pPr>
          </w:p>
        </w:tc>
        <w:tc>
          <w:tcPr>
            <w:tcW w:w="1200" w:type="dxa"/>
            <w:vAlign w:val="bottom"/>
            <w:tcBorders>
              <w:top w:val="single" w:sz="8" w:color="0065C1"/>
            </w:tcBorders>
          </w:tcPr>
          <w:p>
            <w:pPr>
              <w:spacing w:after="0"/>
              <w:rPr>
                <w:sz w:val="5"/>
                <w:szCs w:val="5"/>
                <w:color w:val="auto"/>
              </w:rPr>
            </w:pPr>
          </w:p>
        </w:tc>
        <w:tc>
          <w:tcPr>
            <w:tcW w:w="1460" w:type="dxa"/>
            <w:vAlign w:val="bottom"/>
            <w:tcBorders>
              <w:top w:val="single" w:sz="8" w:color="0065C1"/>
            </w:tcBorders>
          </w:tcPr>
          <w:p>
            <w:pPr>
              <w:spacing w:after="0"/>
              <w:rPr>
                <w:sz w:val="5"/>
                <w:szCs w:val="5"/>
                <w:color w:val="auto"/>
              </w:rPr>
            </w:pPr>
          </w:p>
        </w:tc>
        <w:tc>
          <w:tcPr>
            <w:tcW w:w="1480" w:type="dxa"/>
            <w:vAlign w:val="bottom"/>
            <w:tcBorders>
              <w:top w:val="single" w:sz="8" w:color="0065C1"/>
            </w:tcBorders>
          </w:tcPr>
          <w:p>
            <w:pPr>
              <w:spacing w:after="0"/>
              <w:rPr>
                <w:sz w:val="5"/>
                <w:szCs w:val="5"/>
                <w:color w:val="auto"/>
              </w:rPr>
            </w:pPr>
          </w:p>
        </w:tc>
      </w:tr>
      <w:tr>
        <w:trPr>
          <w:trHeight w:val="277"/>
        </w:trPr>
        <w:tc>
          <w:tcPr>
            <w:tcW w:w="4720" w:type="dxa"/>
            <w:vAlign w:val="bottom"/>
            <w:shd w:val="clear" w:color="auto" w:fill="0065C1"/>
          </w:tcPr>
          <w:p>
            <w:pPr>
              <w:spacing w:after="0"/>
              <w:rPr>
                <w:sz w:val="24"/>
                <w:szCs w:val="24"/>
                <w:color w:val="auto"/>
              </w:rPr>
            </w:pPr>
          </w:p>
        </w:tc>
        <w:tc>
          <w:tcPr>
            <w:tcW w:w="1200" w:type="dxa"/>
            <w:vAlign w:val="bottom"/>
            <w:shd w:val="clear" w:color="auto" w:fill="0065C1"/>
          </w:tcPr>
          <w:p>
            <w:pPr>
              <w:spacing w:after="0"/>
              <w:rPr>
                <w:sz w:val="24"/>
                <w:szCs w:val="24"/>
                <w:color w:val="auto"/>
              </w:rPr>
            </w:pPr>
          </w:p>
        </w:tc>
        <w:tc>
          <w:tcPr>
            <w:tcW w:w="1460" w:type="dxa"/>
            <w:vAlign w:val="bottom"/>
            <w:shd w:val="clear" w:color="auto" w:fill="0065C1"/>
          </w:tcPr>
          <w:p>
            <w:pPr>
              <w:spacing w:after="0"/>
              <w:rPr>
                <w:sz w:val="24"/>
                <w:szCs w:val="24"/>
                <w:color w:val="auto"/>
              </w:rPr>
            </w:pPr>
          </w:p>
        </w:tc>
        <w:tc>
          <w:tcPr>
            <w:tcW w:w="1480" w:type="dxa"/>
            <w:vAlign w:val="bottom"/>
            <w:shd w:val="clear" w:color="auto" w:fill="0065C1"/>
          </w:tcPr>
          <w:p>
            <w:pPr>
              <w:jc w:val="center"/>
              <w:ind w:left="33"/>
              <w:spacing w:after="0"/>
              <w:rPr>
                <w:sz w:val="20"/>
                <w:szCs w:val="20"/>
                <w:color w:val="auto"/>
              </w:rPr>
            </w:pPr>
            <w:r>
              <w:rPr>
                <w:rFonts w:ascii="Arial" w:cs="Arial" w:eastAsia="Arial" w:hAnsi="Arial"/>
                <w:sz w:val="16"/>
                <w:szCs w:val="16"/>
                <w:b w:val="1"/>
                <w:bCs w:val="1"/>
                <w:color w:val="FFFFFF"/>
                <w:w w:val="99"/>
              </w:rPr>
              <w:t>% of Total</w:t>
            </w:r>
          </w:p>
        </w:tc>
      </w:tr>
      <w:tr>
        <w:trPr>
          <w:trHeight w:val="189"/>
        </w:trPr>
        <w:tc>
          <w:tcPr>
            <w:tcW w:w="4720" w:type="dxa"/>
            <w:vAlign w:val="bottom"/>
            <w:shd w:val="clear" w:color="auto" w:fill="0065C1"/>
          </w:tcPr>
          <w:p>
            <w:pPr>
              <w:spacing w:after="0"/>
              <w:rPr>
                <w:sz w:val="16"/>
                <w:szCs w:val="16"/>
                <w:color w:val="auto"/>
              </w:rPr>
            </w:pPr>
          </w:p>
        </w:tc>
        <w:tc>
          <w:tcPr>
            <w:tcW w:w="1200" w:type="dxa"/>
            <w:vAlign w:val="bottom"/>
            <w:shd w:val="clear" w:color="auto" w:fill="0065C1"/>
          </w:tcPr>
          <w:p>
            <w:pPr>
              <w:jc w:val="center"/>
              <w:ind w:left="192"/>
              <w:spacing w:after="0"/>
              <w:rPr>
                <w:sz w:val="20"/>
                <w:szCs w:val="20"/>
                <w:color w:val="auto"/>
              </w:rPr>
            </w:pPr>
            <w:r>
              <w:rPr>
                <w:rFonts w:ascii="Arial" w:cs="Arial" w:eastAsia="Arial" w:hAnsi="Arial"/>
                <w:sz w:val="16"/>
                <w:szCs w:val="16"/>
                <w:b w:val="1"/>
                <w:bCs w:val="1"/>
                <w:color w:val="FFFFFF"/>
                <w:w w:val="99"/>
              </w:rPr>
              <w:t>Number of</w:t>
            </w:r>
          </w:p>
        </w:tc>
        <w:tc>
          <w:tcPr>
            <w:tcW w:w="1460" w:type="dxa"/>
            <w:vAlign w:val="bottom"/>
            <w:shd w:val="clear" w:color="auto" w:fill="0065C1"/>
          </w:tcPr>
          <w:p>
            <w:pPr>
              <w:ind w:left="640"/>
              <w:spacing w:after="0"/>
              <w:rPr>
                <w:sz w:val="20"/>
                <w:szCs w:val="20"/>
                <w:color w:val="auto"/>
              </w:rPr>
            </w:pPr>
            <w:r>
              <w:rPr>
                <w:rFonts w:ascii="Arial" w:cs="Arial" w:eastAsia="Arial" w:hAnsi="Arial"/>
                <w:sz w:val="16"/>
                <w:szCs w:val="16"/>
                <w:b w:val="1"/>
                <w:bCs w:val="1"/>
                <w:color w:val="FFFFFF"/>
              </w:rPr>
              <w:t>% of</w:t>
            </w:r>
          </w:p>
        </w:tc>
        <w:tc>
          <w:tcPr>
            <w:tcW w:w="1480" w:type="dxa"/>
            <w:vAlign w:val="bottom"/>
            <w:shd w:val="clear" w:color="auto" w:fill="0065C1"/>
          </w:tcPr>
          <w:p>
            <w:pPr>
              <w:jc w:val="center"/>
              <w:ind w:left="93"/>
              <w:spacing w:after="0"/>
              <w:rPr>
                <w:sz w:val="20"/>
                <w:szCs w:val="20"/>
                <w:color w:val="auto"/>
              </w:rPr>
            </w:pPr>
            <w:r>
              <w:rPr>
                <w:rFonts w:ascii="Arial" w:cs="Arial" w:eastAsia="Arial" w:hAnsi="Arial"/>
                <w:sz w:val="16"/>
                <w:szCs w:val="16"/>
                <w:b w:val="1"/>
                <w:bCs w:val="1"/>
                <w:color w:val="FFFFFF"/>
              </w:rPr>
              <w:t>Common</w:t>
            </w:r>
          </w:p>
        </w:tc>
      </w:tr>
      <w:tr>
        <w:trPr>
          <w:trHeight w:val="257"/>
        </w:trPr>
        <w:tc>
          <w:tcPr>
            <w:tcW w:w="4720" w:type="dxa"/>
            <w:vAlign w:val="bottom"/>
            <w:tcBorders>
              <w:bottom w:val="single" w:sz="8" w:color="0065C1"/>
            </w:tcBorders>
            <w:shd w:val="clear" w:color="auto" w:fill="0065C1"/>
          </w:tcPr>
          <w:p>
            <w:pPr>
              <w:ind w:left="100"/>
              <w:spacing w:after="0"/>
              <w:rPr>
                <w:sz w:val="20"/>
                <w:szCs w:val="20"/>
                <w:color w:val="auto"/>
              </w:rPr>
            </w:pPr>
            <w:r>
              <w:rPr>
                <w:rFonts w:ascii="Arial" w:cs="Arial" w:eastAsia="Arial" w:hAnsi="Arial"/>
                <w:sz w:val="16"/>
                <w:szCs w:val="16"/>
                <w:b w:val="1"/>
                <w:bCs w:val="1"/>
                <w:color w:val="FFFFFF"/>
              </w:rPr>
              <w:t>Class B Common Stock</w:t>
            </w:r>
          </w:p>
        </w:tc>
        <w:tc>
          <w:tcPr>
            <w:tcW w:w="1200" w:type="dxa"/>
            <w:vAlign w:val="bottom"/>
            <w:tcBorders>
              <w:bottom w:val="single" w:sz="8" w:color="0065C1"/>
            </w:tcBorders>
            <w:shd w:val="clear" w:color="auto" w:fill="0065C1"/>
          </w:tcPr>
          <w:p>
            <w:pPr>
              <w:jc w:val="center"/>
              <w:ind w:left="212"/>
              <w:spacing w:after="0"/>
              <w:rPr>
                <w:sz w:val="20"/>
                <w:szCs w:val="20"/>
                <w:color w:val="auto"/>
              </w:rPr>
            </w:pPr>
            <w:r>
              <w:rPr>
                <w:rFonts w:ascii="Arial" w:cs="Arial" w:eastAsia="Arial" w:hAnsi="Arial"/>
                <w:sz w:val="16"/>
                <w:szCs w:val="16"/>
                <w:b w:val="1"/>
                <w:bCs w:val="1"/>
                <w:color w:val="FFFFFF"/>
              </w:rPr>
              <w:t>Shares</w:t>
            </w:r>
          </w:p>
        </w:tc>
        <w:tc>
          <w:tcPr>
            <w:tcW w:w="1460" w:type="dxa"/>
            <w:vAlign w:val="bottom"/>
            <w:tcBorders>
              <w:bottom w:val="single" w:sz="8" w:color="0065C1"/>
            </w:tcBorders>
            <w:shd w:val="clear" w:color="auto" w:fill="0065C1"/>
          </w:tcPr>
          <w:p>
            <w:pPr>
              <w:ind w:left="600"/>
              <w:spacing w:after="0"/>
              <w:rPr>
                <w:sz w:val="20"/>
                <w:szCs w:val="20"/>
                <w:color w:val="auto"/>
              </w:rPr>
            </w:pPr>
            <w:r>
              <w:rPr>
                <w:rFonts w:ascii="Arial" w:cs="Arial" w:eastAsia="Arial" w:hAnsi="Arial"/>
                <w:sz w:val="16"/>
                <w:szCs w:val="16"/>
                <w:b w:val="1"/>
                <w:bCs w:val="1"/>
                <w:color w:val="FFFFFF"/>
              </w:rPr>
              <w:t>Class</w:t>
            </w:r>
          </w:p>
        </w:tc>
        <w:tc>
          <w:tcPr>
            <w:tcW w:w="1480" w:type="dxa"/>
            <w:vAlign w:val="bottom"/>
            <w:tcBorders>
              <w:bottom w:val="single" w:sz="8" w:color="0065C1"/>
            </w:tcBorders>
            <w:shd w:val="clear" w:color="auto" w:fill="0065C1"/>
          </w:tcPr>
          <w:p>
            <w:pPr>
              <w:jc w:val="center"/>
              <w:ind w:left="113"/>
              <w:spacing w:after="0"/>
              <w:rPr>
                <w:sz w:val="20"/>
                <w:szCs w:val="20"/>
                <w:color w:val="auto"/>
              </w:rPr>
            </w:pPr>
            <w:r>
              <w:rPr>
                <w:rFonts w:ascii="Arial" w:cs="Arial" w:eastAsia="Arial" w:hAnsi="Arial"/>
                <w:sz w:val="16"/>
                <w:szCs w:val="16"/>
                <w:b w:val="1"/>
                <w:bCs w:val="1"/>
                <w:color w:val="FFFFFF"/>
              </w:rPr>
              <w:t>Stock</w:t>
            </w:r>
          </w:p>
        </w:tc>
      </w:tr>
      <w:tr>
        <w:trPr>
          <w:trHeight w:val="247"/>
        </w:trPr>
        <w:tc>
          <w:tcPr>
            <w:tcW w:w="47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Banco de la Provincia de Buenos Aires</w:t>
            </w:r>
          </w:p>
        </w:tc>
        <w:tc>
          <w:tcPr>
            <w:tcW w:w="1200" w:type="dxa"/>
            <w:vAlign w:val="bottom"/>
            <w:shd w:val="clear" w:color="auto" w:fill="D7E7F5"/>
          </w:tcPr>
          <w:p>
            <w:pPr>
              <w:spacing w:after="0"/>
              <w:rPr>
                <w:sz w:val="21"/>
                <w:szCs w:val="21"/>
                <w:color w:val="auto"/>
              </w:rPr>
            </w:pPr>
          </w:p>
        </w:tc>
        <w:tc>
          <w:tcPr>
            <w:tcW w:w="1460" w:type="dxa"/>
            <w:vAlign w:val="bottom"/>
            <w:shd w:val="clear" w:color="auto" w:fill="D7E7F5"/>
          </w:tcPr>
          <w:p>
            <w:pPr>
              <w:spacing w:after="0"/>
              <w:rPr>
                <w:sz w:val="21"/>
                <w:szCs w:val="21"/>
                <w:color w:val="auto"/>
              </w:rPr>
            </w:pPr>
          </w:p>
        </w:tc>
        <w:tc>
          <w:tcPr>
            <w:tcW w:w="1480" w:type="dxa"/>
            <w:vAlign w:val="bottom"/>
            <w:shd w:val="clear" w:color="auto" w:fill="D7E7F5"/>
          </w:tcPr>
          <w:p>
            <w:pPr>
              <w:spacing w:after="0"/>
              <w:rPr>
                <w:sz w:val="21"/>
                <w:szCs w:val="21"/>
                <w:color w:val="auto"/>
              </w:rPr>
            </w:pPr>
          </w:p>
        </w:tc>
      </w:tr>
      <w:tr>
        <w:trPr>
          <w:trHeight w:val="203"/>
        </w:trPr>
        <w:tc>
          <w:tcPr>
            <w:tcW w:w="4720" w:type="dxa"/>
            <w:vAlign w:val="bottom"/>
            <w:shd w:val="clear" w:color="auto" w:fill="D7E7F5"/>
          </w:tcPr>
          <w:p>
            <w:pPr>
              <w:ind w:left="100"/>
              <w:spacing w:after="0" w:line="202" w:lineRule="exact"/>
              <w:rPr>
                <w:sz w:val="20"/>
                <w:szCs w:val="20"/>
                <w:color w:val="auto"/>
              </w:rPr>
            </w:pPr>
            <w:r>
              <w:rPr>
                <w:rFonts w:ascii="Arial" w:cs="Arial" w:eastAsia="Arial" w:hAnsi="Arial"/>
                <w:sz w:val="18"/>
                <w:szCs w:val="18"/>
                <w:color w:val="auto"/>
              </w:rPr>
              <w:t>San Martín 137</w:t>
            </w:r>
          </w:p>
        </w:tc>
        <w:tc>
          <w:tcPr>
            <w:tcW w:w="1200" w:type="dxa"/>
            <w:vAlign w:val="bottom"/>
            <w:shd w:val="clear" w:color="auto" w:fill="D7E7F5"/>
          </w:tcPr>
          <w:p>
            <w:pPr>
              <w:spacing w:after="0"/>
              <w:rPr>
                <w:sz w:val="17"/>
                <w:szCs w:val="17"/>
                <w:color w:val="auto"/>
              </w:rPr>
            </w:pPr>
          </w:p>
        </w:tc>
        <w:tc>
          <w:tcPr>
            <w:tcW w:w="1460" w:type="dxa"/>
            <w:vAlign w:val="bottom"/>
            <w:shd w:val="clear" w:color="auto" w:fill="D7E7F5"/>
          </w:tcPr>
          <w:p>
            <w:pPr>
              <w:spacing w:after="0"/>
              <w:rPr>
                <w:sz w:val="17"/>
                <w:szCs w:val="17"/>
                <w:color w:val="auto"/>
              </w:rPr>
            </w:pPr>
          </w:p>
        </w:tc>
        <w:tc>
          <w:tcPr>
            <w:tcW w:w="1480" w:type="dxa"/>
            <w:vAlign w:val="bottom"/>
            <w:shd w:val="clear" w:color="auto" w:fill="D7E7F5"/>
          </w:tcPr>
          <w:p>
            <w:pPr>
              <w:spacing w:after="0"/>
              <w:rPr>
                <w:sz w:val="17"/>
                <w:szCs w:val="17"/>
                <w:color w:val="auto"/>
              </w:rPr>
            </w:pPr>
          </w:p>
        </w:tc>
      </w:tr>
      <w:tr>
        <w:trPr>
          <w:trHeight w:val="273"/>
        </w:trPr>
        <w:tc>
          <w:tcPr>
            <w:tcW w:w="472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C1004AAC Buenos Aires, Argentina</w:t>
            </w:r>
          </w:p>
        </w:tc>
        <w:tc>
          <w:tcPr>
            <w:tcW w:w="120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884,461</w:t>
            </w:r>
          </w:p>
        </w:tc>
        <w:tc>
          <w:tcPr>
            <w:tcW w:w="1460" w:type="dxa"/>
            <w:vAlign w:val="bottom"/>
            <w:tcBorders>
              <w:bottom w:val="single" w:sz="8" w:color="D7E7F5"/>
            </w:tcBorders>
            <w:shd w:val="clear" w:color="auto" w:fill="D7E7F5"/>
          </w:tcPr>
          <w:p>
            <w:pPr>
              <w:jc w:val="right"/>
              <w:ind w:right="332"/>
              <w:spacing w:after="0"/>
              <w:rPr>
                <w:sz w:val="20"/>
                <w:szCs w:val="20"/>
                <w:color w:val="auto"/>
              </w:rPr>
            </w:pPr>
            <w:r>
              <w:rPr>
                <w:rFonts w:ascii="Arial" w:cs="Arial" w:eastAsia="Arial" w:hAnsi="Arial"/>
                <w:sz w:val="18"/>
                <w:szCs w:val="18"/>
                <w:color w:val="auto"/>
              </w:rPr>
              <w:t>40.6</w:t>
            </w:r>
          </w:p>
        </w:tc>
        <w:tc>
          <w:tcPr>
            <w:tcW w:w="1480" w:type="dxa"/>
            <w:vAlign w:val="bottom"/>
            <w:tcBorders>
              <w:bottom w:val="single" w:sz="8" w:color="D7E7F5"/>
            </w:tcBorders>
            <w:shd w:val="clear" w:color="auto" w:fill="D7E7F5"/>
          </w:tcPr>
          <w:p>
            <w:pPr>
              <w:jc w:val="center"/>
              <w:ind w:left="113"/>
              <w:spacing w:after="0"/>
              <w:rPr>
                <w:sz w:val="20"/>
                <w:szCs w:val="20"/>
                <w:color w:val="auto"/>
              </w:rPr>
            </w:pPr>
            <w:r>
              <w:rPr>
                <w:rFonts w:ascii="Arial" w:cs="Arial" w:eastAsia="Arial" w:hAnsi="Arial"/>
                <w:sz w:val="18"/>
                <w:szCs w:val="18"/>
                <w:color w:val="auto"/>
                <w:w w:val="95"/>
              </w:rPr>
              <w:t>2.2</w:t>
            </w:r>
          </w:p>
        </w:tc>
      </w:tr>
      <w:tr>
        <w:trPr>
          <w:trHeight w:val="247"/>
        </w:trPr>
        <w:tc>
          <w:tcPr>
            <w:tcW w:w="4720" w:type="dxa"/>
            <w:vAlign w:val="bottom"/>
          </w:tcPr>
          <w:p>
            <w:pPr>
              <w:ind w:left="100"/>
              <w:spacing w:after="0"/>
              <w:rPr>
                <w:sz w:val="20"/>
                <w:szCs w:val="20"/>
                <w:color w:val="auto"/>
              </w:rPr>
            </w:pPr>
            <w:r>
              <w:rPr>
                <w:rFonts w:ascii="Arial" w:cs="Arial" w:eastAsia="Arial" w:hAnsi="Arial"/>
                <w:sz w:val="18"/>
                <w:szCs w:val="18"/>
                <w:color w:val="auto"/>
              </w:rPr>
              <w:t>Banco de la Nación Argentina</w:t>
            </w:r>
          </w:p>
        </w:tc>
        <w:tc>
          <w:tcPr>
            <w:tcW w:w="120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1480" w:type="dxa"/>
            <w:vAlign w:val="bottom"/>
          </w:tcPr>
          <w:p>
            <w:pPr>
              <w:spacing w:after="0"/>
              <w:rPr>
                <w:sz w:val="21"/>
                <w:szCs w:val="21"/>
                <w:color w:val="auto"/>
              </w:rPr>
            </w:pPr>
          </w:p>
        </w:tc>
      </w:tr>
      <w:tr>
        <w:trPr>
          <w:trHeight w:val="203"/>
        </w:trPr>
        <w:tc>
          <w:tcPr>
            <w:tcW w:w="4720" w:type="dxa"/>
            <w:vAlign w:val="bottom"/>
          </w:tcPr>
          <w:p>
            <w:pPr>
              <w:ind w:left="100"/>
              <w:spacing w:after="0" w:line="202" w:lineRule="exact"/>
              <w:rPr>
                <w:sz w:val="20"/>
                <w:szCs w:val="20"/>
                <w:color w:val="auto"/>
              </w:rPr>
            </w:pPr>
            <w:r>
              <w:rPr>
                <w:rFonts w:ascii="Arial" w:cs="Arial" w:eastAsia="Arial" w:hAnsi="Arial"/>
                <w:sz w:val="18"/>
                <w:szCs w:val="18"/>
                <w:color w:val="auto"/>
              </w:rPr>
              <w:t>Bartolomé Mitre 326</w:t>
            </w:r>
          </w:p>
        </w:tc>
        <w:tc>
          <w:tcPr>
            <w:tcW w:w="1200" w:type="dxa"/>
            <w:vAlign w:val="bottom"/>
          </w:tcPr>
          <w:p>
            <w:pPr>
              <w:spacing w:after="0"/>
              <w:rPr>
                <w:sz w:val="17"/>
                <w:szCs w:val="17"/>
                <w:color w:val="auto"/>
              </w:rPr>
            </w:pPr>
          </w:p>
        </w:tc>
        <w:tc>
          <w:tcPr>
            <w:tcW w:w="1460" w:type="dxa"/>
            <w:vAlign w:val="bottom"/>
          </w:tcPr>
          <w:p>
            <w:pPr>
              <w:spacing w:after="0"/>
              <w:rPr>
                <w:sz w:val="17"/>
                <w:szCs w:val="17"/>
                <w:color w:val="auto"/>
              </w:rPr>
            </w:pPr>
          </w:p>
        </w:tc>
        <w:tc>
          <w:tcPr>
            <w:tcW w:w="1480" w:type="dxa"/>
            <w:vAlign w:val="bottom"/>
          </w:tcPr>
          <w:p>
            <w:pPr>
              <w:spacing w:after="0"/>
              <w:rPr>
                <w:sz w:val="17"/>
                <w:szCs w:val="17"/>
                <w:color w:val="auto"/>
              </w:rPr>
            </w:pPr>
          </w:p>
        </w:tc>
      </w:tr>
      <w:tr>
        <w:trPr>
          <w:trHeight w:val="243"/>
        </w:trPr>
        <w:tc>
          <w:tcPr>
            <w:tcW w:w="4720" w:type="dxa"/>
            <w:vAlign w:val="bottom"/>
          </w:tcPr>
          <w:p>
            <w:pPr>
              <w:ind w:left="100"/>
              <w:spacing w:after="0"/>
              <w:rPr>
                <w:sz w:val="20"/>
                <w:szCs w:val="20"/>
                <w:color w:val="auto"/>
              </w:rPr>
            </w:pPr>
            <w:r>
              <w:rPr>
                <w:rFonts w:ascii="Arial" w:cs="Arial" w:eastAsia="Arial" w:hAnsi="Arial"/>
                <w:sz w:val="18"/>
                <w:szCs w:val="18"/>
                <w:color w:val="auto"/>
              </w:rPr>
              <w:t>CP 1036 AAF Buenos Aires, Argentina</w:t>
            </w:r>
          </w:p>
        </w:tc>
        <w:tc>
          <w:tcPr>
            <w:tcW w:w="1200" w:type="dxa"/>
            <w:vAlign w:val="bottom"/>
          </w:tcPr>
          <w:p>
            <w:pPr>
              <w:jc w:val="right"/>
              <w:spacing w:after="0"/>
              <w:rPr>
                <w:sz w:val="20"/>
                <w:szCs w:val="20"/>
                <w:color w:val="auto"/>
              </w:rPr>
            </w:pPr>
            <w:r>
              <w:rPr>
                <w:rFonts w:ascii="Arial" w:cs="Arial" w:eastAsia="Arial" w:hAnsi="Arial"/>
                <w:sz w:val="18"/>
                <w:szCs w:val="18"/>
                <w:color w:val="auto"/>
              </w:rPr>
              <w:t>295,945</w:t>
            </w:r>
          </w:p>
        </w:tc>
        <w:tc>
          <w:tcPr>
            <w:tcW w:w="1460" w:type="dxa"/>
            <w:vAlign w:val="bottom"/>
          </w:tcPr>
          <w:p>
            <w:pPr>
              <w:jc w:val="right"/>
              <w:ind w:right="332"/>
              <w:spacing w:after="0"/>
              <w:rPr>
                <w:sz w:val="20"/>
                <w:szCs w:val="20"/>
                <w:color w:val="auto"/>
              </w:rPr>
            </w:pPr>
            <w:r>
              <w:rPr>
                <w:rFonts w:ascii="Arial" w:cs="Arial" w:eastAsia="Arial" w:hAnsi="Arial"/>
                <w:sz w:val="18"/>
                <w:szCs w:val="18"/>
                <w:color w:val="auto"/>
              </w:rPr>
              <w:t>13.6</w:t>
            </w:r>
          </w:p>
        </w:tc>
        <w:tc>
          <w:tcPr>
            <w:tcW w:w="1480" w:type="dxa"/>
            <w:vAlign w:val="bottom"/>
          </w:tcPr>
          <w:p>
            <w:pPr>
              <w:jc w:val="center"/>
              <w:ind w:left="113"/>
              <w:spacing w:after="0"/>
              <w:rPr>
                <w:sz w:val="20"/>
                <w:szCs w:val="20"/>
                <w:color w:val="auto"/>
              </w:rPr>
            </w:pPr>
            <w:r>
              <w:rPr>
                <w:rFonts w:ascii="Arial" w:cs="Arial" w:eastAsia="Arial" w:hAnsi="Arial"/>
                <w:sz w:val="18"/>
                <w:szCs w:val="18"/>
                <w:color w:val="auto"/>
                <w:w w:val="95"/>
              </w:rPr>
              <w:t>0.7</w:t>
            </w:r>
          </w:p>
        </w:tc>
      </w:tr>
      <w:tr>
        <w:trPr>
          <w:trHeight w:val="50"/>
        </w:trPr>
        <w:tc>
          <w:tcPr>
            <w:tcW w:w="4720" w:type="dxa"/>
            <w:vAlign w:val="bottom"/>
          </w:tcPr>
          <w:p>
            <w:pPr>
              <w:spacing w:after="0"/>
              <w:rPr>
                <w:sz w:val="4"/>
                <w:szCs w:val="4"/>
                <w:color w:val="auto"/>
              </w:rPr>
            </w:pPr>
          </w:p>
        </w:tc>
        <w:tc>
          <w:tcPr>
            <w:tcW w:w="1200" w:type="dxa"/>
            <w:vAlign w:val="bottom"/>
          </w:tcPr>
          <w:p>
            <w:pPr>
              <w:spacing w:after="0"/>
              <w:rPr>
                <w:sz w:val="4"/>
                <w:szCs w:val="4"/>
                <w:color w:val="auto"/>
              </w:rPr>
            </w:pPr>
          </w:p>
        </w:tc>
        <w:tc>
          <w:tcPr>
            <w:tcW w:w="1460" w:type="dxa"/>
            <w:vAlign w:val="bottom"/>
          </w:tcPr>
          <w:p>
            <w:pPr>
              <w:spacing w:after="0"/>
              <w:rPr>
                <w:sz w:val="4"/>
                <w:szCs w:val="4"/>
                <w:color w:val="auto"/>
              </w:rPr>
            </w:pPr>
          </w:p>
        </w:tc>
        <w:tc>
          <w:tcPr>
            <w:tcW w:w="1480" w:type="dxa"/>
            <w:vAlign w:val="bottom"/>
          </w:tcPr>
          <w:p>
            <w:pPr>
              <w:spacing w:after="0"/>
              <w:rPr>
                <w:sz w:val="4"/>
                <w:szCs w:val="4"/>
                <w:color w:val="auto"/>
              </w:rPr>
            </w:pPr>
          </w:p>
        </w:tc>
      </w:tr>
      <w:tr>
        <w:trPr>
          <w:trHeight w:val="247"/>
        </w:trPr>
        <w:tc>
          <w:tcPr>
            <w:tcW w:w="47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The Korea Exchange Bank</w:t>
            </w:r>
          </w:p>
        </w:tc>
        <w:tc>
          <w:tcPr>
            <w:tcW w:w="1200" w:type="dxa"/>
            <w:vAlign w:val="bottom"/>
            <w:shd w:val="clear" w:color="auto" w:fill="D7E7F5"/>
          </w:tcPr>
          <w:p>
            <w:pPr>
              <w:spacing w:after="0"/>
              <w:rPr>
                <w:sz w:val="21"/>
                <w:szCs w:val="21"/>
                <w:color w:val="auto"/>
              </w:rPr>
            </w:pPr>
          </w:p>
        </w:tc>
        <w:tc>
          <w:tcPr>
            <w:tcW w:w="1460" w:type="dxa"/>
            <w:vAlign w:val="bottom"/>
            <w:shd w:val="clear" w:color="auto" w:fill="D7E7F5"/>
          </w:tcPr>
          <w:p>
            <w:pPr>
              <w:spacing w:after="0"/>
              <w:rPr>
                <w:sz w:val="21"/>
                <w:szCs w:val="21"/>
                <w:color w:val="auto"/>
              </w:rPr>
            </w:pPr>
          </w:p>
        </w:tc>
        <w:tc>
          <w:tcPr>
            <w:tcW w:w="1480" w:type="dxa"/>
            <w:vAlign w:val="bottom"/>
            <w:shd w:val="clear" w:color="auto" w:fill="D7E7F5"/>
          </w:tcPr>
          <w:p>
            <w:pPr>
              <w:spacing w:after="0"/>
              <w:rPr>
                <w:sz w:val="21"/>
                <w:szCs w:val="21"/>
                <w:color w:val="auto"/>
              </w:rPr>
            </w:pPr>
          </w:p>
        </w:tc>
      </w:tr>
      <w:tr>
        <w:trPr>
          <w:trHeight w:val="203"/>
        </w:trPr>
        <w:tc>
          <w:tcPr>
            <w:tcW w:w="4720" w:type="dxa"/>
            <w:vAlign w:val="bottom"/>
            <w:shd w:val="clear" w:color="auto" w:fill="D7E7F5"/>
          </w:tcPr>
          <w:p>
            <w:pPr>
              <w:ind w:left="100"/>
              <w:spacing w:after="0" w:line="202" w:lineRule="exact"/>
              <w:rPr>
                <w:sz w:val="20"/>
                <w:szCs w:val="20"/>
                <w:color w:val="auto"/>
              </w:rPr>
            </w:pPr>
            <w:r>
              <w:rPr>
                <w:rFonts w:ascii="Arial" w:cs="Arial" w:eastAsia="Arial" w:hAnsi="Arial"/>
                <w:sz w:val="18"/>
                <w:szCs w:val="18"/>
                <w:color w:val="auto"/>
              </w:rPr>
              <w:t>35, Euljiro, Jun-gu</w:t>
            </w:r>
          </w:p>
        </w:tc>
        <w:tc>
          <w:tcPr>
            <w:tcW w:w="1200" w:type="dxa"/>
            <w:vAlign w:val="bottom"/>
            <w:shd w:val="clear" w:color="auto" w:fill="D7E7F5"/>
          </w:tcPr>
          <w:p>
            <w:pPr>
              <w:spacing w:after="0"/>
              <w:rPr>
                <w:sz w:val="17"/>
                <w:szCs w:val="17"/>
                <w:color w:val="auto"/>
              </w:rPr>
            </w:pPr>
          </w:p>
        </w:tc>
        <w:tc>
          <w:tcPr>
            <w:tcW w:w="1460" w:type="dxa"/>
            <w:vAlign w:val="bottom"/>
            <w:shd w:val="clear" w:color="auto" w:fill="D7E7F5"/>
          </w:tcPr>
          <w:p>
            <w:pPr>
              <w:spacing w:after="0"/>
              <w:rPr>
                <w:sz w:val="17"/>
                <w:szCs w:val="17"/>
                <w:color w:val="auto"/>
              </w:rPr>
            </w:pPr>
          </w:p>
        </w:tc>
        <w:tc>
          <w:tcPr>
            <w:tcW w:w="1480" w:type="dxa"/>
            <w:vAlign w:val="bottom"/>
            <w:shd w:val="clear" w:color="auto" w:fill="D7E7F5"/>
          </w:tcPr>
          <w:p>
            <w:pPr>
              <w:spacing w:after="0"/>
              <w:rPr>
                <w:sz w:val="17"/>
                <w:szCs w:val="17"/>
                <w:color w:val="auto"/>
              </w:rPr>
            </w:pPr>
          </w:p>
        </w:tc>
      </w:tr>
      <w:tr>
        <w:trPr>
          <w:trHeight w:val="273"/>
        </w:trPr>
        <w:tc>
          <w:tcPr>
            <w:tcW w:w="472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Seoul 100-793, Korea</w:t>
            </w:r>
          </w:p>
        </w:tc>
        <w:tc>
          <w:tcPr>
            <w:tcW w:w="120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147,173</w:t>
            </w:r>
          </w:p>
        </w:tc>
        <w:tc>
          <w:tcPr>
            <w:tcW w:w="1460" w:type="dxa"/>
            <w:vAlign w:val="bottom"/>
            <w:tcBorders>
              <w:bottom w:val="single" w:sz="8" w:color="D7E7F5"/>
            </w:tcBorders>
            <w:shd w:val="clear" w:color="auto" w:fill="D7E7F5"/>
          </w:tcPr>
          <w:p>
            <w:pPr>
              <w:jc w:val="right"/>
              <w:ind w:right="332"/>
              <w:spacing w:after="0"/>
              <w:rPr>
                <w:sz w:val="20"/>
                <w:szCs w:val="20"/>
                <w:color w:val="auto"/>
              </w:rPr>
            </w:pPr>
            <w:r>
              <w:rPr>
                <w:rFonts w:ascii="Arial" w:cs="Arial" w:eastAsia="Arial" w:hAnsi="Arial"/>
                <w:sz w:val="18"/>
                <w:szCs w:val="18"/>
                <w:color w:val="auto"/>
              </w:rPr>
              <w:t>6.7</w:t>
            </w:r>
          </w:p>
        </w:tc>
        <w:tc>
          <w:tcPr>
            <w:tcW w:w="1480" w:type="dxa"/>
            <w:vAlign w:val="bottom"/>
            <w:tcBorders>
              <w:bottom w:val="single" w:sz="8" w:color="D7E7F5"/>
            </w:tcBorders>
            <w:shd w:val="clear" w:color="auto" w:fill="D7E7F5"/>
          </w:tcPr>
          <w:p>
            <w:pPr>
              <w:jc w:val="center"/>
              <w:ind w:left="113"/>
              <w:spacing w:after="0"/>
              <w:rPr>
                <w:sz w:val="20"/>
                <w:szCs w:val="20"/>
                <w:color w:val="auto"/>
              </w:rPr>
            </w:pPr>
            <w:r>
              <w:rPr>
                <w:rFonts w:ascii="Arial" w:cs="Arial" w:eastAsia="Arial" w:hAnsi="Arial"/>
                <w:sz w:val="18"/>
                <w:szCs w:val="18"/>
                <w:color w:val="auto"/>
                <w:w w:val="95"/>
              </w:rPr>
              <w:t>0.4</w:t>
            </w:r>
          </w:p>
        </w:tc>
      </w:tr>
      <w:tr>
        <w:trPr>
          <w:trHeight w:val="287"/>
        </w:trPr>
        <w:tc>
          <w:tcPr>
            <w:tcW w:w="4720" w:type="dxa"/>
            <w:vAlign w:val="bottom"/>
          </w:tcPr>
          <w:p>
            <w:pPr>
              <w:ind w:left="100"/>
              <w:spacing w:after="0"/>
              <w:rPr>
                <w:sz w:val="20"/>
                <w:szCs w:val="20"/>
                <w:color w:val="auto"/>
              </w:rPr>
            </w:pPr>
            <w:r>
              <w:rPr>
                <w:rFonts w:ascii="Arial" w:cs="Arial" w:eastAsia="Arial" w:hAnsi="Arial"/>
                <w:sz w:val="18"/>
                <w:szCs w:val="18"/>
                <w:color w:val="auto"/>
              </w:rPr>
              <w:t>Sub-total shares of Class B Common Stock</w:t>
            </w:r>
          </w:p>
        </w:tc>
        <w:tc>
          <w:tcPr>
            <w:tcW w:w="1200" w:type="dxa"/>
            <w:vAlign w:val="bottom"/>
          </w:tcPr>
          <w:p>
            <w:pPr>
              <w:jc w:val="right"/>
              <w:spacing w:after="0"/>
              <w:rPr>
                <w:sz w:val="20"/>
                <w:szCs w:val="20"/>
                <w:color w:val="auto"/>
              </w:rPr>
            </w:pPr>
            <w:r>
              <w:rPr>
                <w:rFonts w:ascii="Arial" w:cs="Arial" w:eastAsia="Arial" w:hAnsi="Arial"/>
                <w:sz w:val="18"/>
                <w:szCs w:val="18"/>
                <w:color w:val="auto"/>
              </w:rPr>
              <w:t>1,327,579</w:t>
            </w:r>
          </w:p>
        </w:tc>
        <w:tc>
          <w:tcPr>
            <w:tcW w:w="1460" w:type="dxa"/>
            <w:vAlign w:val="bottom"/>
          </w:tcPr>
          <w:p>
            <w:pPr>
              <w:jc w:val="right"/>
              <w:ind w:right="332"/>
              <w:spacing w:after="0"/>
              <w:rPr>
                <w:sz w:val="20"/>
                <w:szCs w:val="20"/>
                <w:color w:val="auto"/>
              </w:rPr>
            </w:pPr>
            <w:r>
              <w:rPr>
                <w:rFonts w:ascii="Arial" w:cs="Arial" w:eastAsia="Arial" w:hAnsi="Arial"/>
                <w:sz w:val="18"/>
                <w:szCs w:val="18"/>
                <w:color w:val="auto"/>
              </w:rPr>
              <w:t>60.9</w:t>
            </w:r>
          </w:p>
        </w:tc>
        <w:tc>
          <w:tcPr>
            <w:tcW w:w="1480" w:type="dxa"/>
            <w:vAlign w:val="bottom"/>
          </w:tcPr>
          <w:p>
            <w:pPr>
              <w:jc w:val="center"/>
              <w:ind w:left="113"/>
              <w:spacing w:after="0"/>
              <w:rPr>
                <w:sz w:val="20"/>
                <w:szCs w:val="20"/>
                <w:color w:val="auto"/>
              </w:rPr>
            </w:pPr>
            <w:r>
              <w:rPr>
                <w:rFonts w:ascii="Arial" w:cs="Arial" w:eastAsia="Arial" w:hAnsi="Arial"/>
                <w:sz w:val="18"/>
                <w:szCs w:val="18"/>
                <w:color w:val="auto"/>
                <w:w w:val="95"/>
              </w:rPr>
              <w:t>3.3</w:t>
            </w:r>
          </w:p>
        </w:tc>
      </w:tr>
      <w:tr>
        <w:trPr>
          <w:trHeight w:val="50"/>
        </w:trPr>
        <w:tc>
          <w:tcPr>
            <w:tcW w:w="4720" w:type="dxa"/>
            <w:vAlign w:val="bottom"/>
          </w:tcPr>
          <w:p>
            <w:pPr>
              <w:spacing w:after="0"/>
              <w:rPr>
                <w:sz w:val="4"/>
                <w:szCs w:val="4"/>
                <w:color w:val="auto"/>
              </w:rPr>
            </w:pPr>
          </w:p>
        </w:tc>
        <w:tc>
          <w:tcPr>
            <w:tcW w:w="1200" w:type="dxa"/>
            <w:vAlign w:val="bottom"/>
          </w:tcPr>
          <w:p>
            <w:pPr>
              <w:spacing w:after="0"/>
              <w:rPr>
                <w:sz w:val="4"/>
                <w:szCs w:val="4"/>
                <w:color w:val="auto"/>
              </w:rPr>
            </w:pPr>
          </w:p>
        </w:tc>
        <w:tc>
          <w:tcPr>
            <w:tcW w:w="1460" w:type="dxa"/>
            <w:vAlign w:val="bottom"/>
          </w:tcPr>
          <w:p>
            <w:pPr>
              <w:spacing w:after="0"/>
              <w:rPr>
                <w:sz w:val="4"/>
                <w:szCs w:val="4"/>
                <w:color w:val="auto"/>
              </w:rPr>
            </w:pPr>
          </w:p>
        </w:tc>
        <w:tc>
          <w:tcPr>
            <w:tcW w:w="1480" w:type="dxa"/>
            <w:vAlign w:val="bottom"/>
          </w:tcPr>
          <w:p>
            <w:pPr>
              <w:spacing w:after="0"/>
              <w:rPr>
                <w:sz w:val="4"/>
                <w:szCs w:val="4"/>
                <w:color w:val="auto"/>
              </w:rPr>
            </w:pPr>
          </w:p>
        </w:tc>
      </w:tr>
      <w:tr>
        <w:trPr>
          <w:trHeight w:val="329"/>
        </w:trPr>
        <w:tc>
          <w:tcPr>
            <w:tcW w:w="472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b w:val="1"/>
                <w:bCs w:val="1"/>
                <w:color w:val="auto"/>
              </w:rPr>
              <w:t>Total Shares of Class B Comon Stock</w:t>
            </w:r>
          </w:p>
        </w:tc>
        <w:tc>
          <w:tcPr>
            <w:tcW w:w="120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b w:val="1"/>
                <w:bCs w:val="1"/>
                <w:color w:val="auto"/>
              </w:rPr>
              <w:t>2,178,365</w:t>
            </w:r>
          </w:p>
        </w:tc>
        <w:tc>
          <w:tcPr>
            <w:tcW w:w="1460" w:type="dxa"/>
            <w:vAlign w:val="bottom"/>
            <w:tcBorders>
              <w:bottom w:val="single" w:sz="8" w:color="D7E7F5"/>
            </w:tcBorders>
            <w:shd w:val="clear" w:color="auto" w:fill="D7E7F5"/>
          </w:tcPr>
          <w:p>
            <w:pPr>
              <w:jc w:val="right"/>
              <w:ind w:right="332"/>
              <w:spacing w:after="0"/>
              <w:rPr>
                <w:sz w:val="20"/>
                <w:szCs w:val="20"/>
                <w:color w:val="auto"/>
              </w:rPr>
            </w:pPr>
            <w:r>
              <w:rPr>
                <w:rFonts w:ascii="Arial" w:cs="Arial" w:eastAsia="Arial" w:hAnsi="Arial"/>
                <w:sz w:val="18"/>
                <w:szCs w:val="18"/>
                <w:b w:val="1"/>
                <w:bCs w:val="1"/>
                <w:color w:val="auto"/>
              </w:rPr>
              <w:t>100.0</w:t>
            </w:r>
          </w:p>
        </w:tc>
        <w:tc>
          <w:tcPr>
            <w:tcW w:w="1480" w:type="dxa"/>
            <w:vAlign w:val="bottom"/>
            <w:tcBorders>
              <w:bottom w:val="single" w:sz="8" w:color="D7E7F5"/>
            </w:tcBorders>
            <w:shd w:val="clear" w:color="auto" w:fill="D7E7F5"/>
          </w:tcPr>
          <w:p>
            <w:pPr>
              <w:jc w:val="center"/>
              <w:ind w:left="113"/>
              <w:spacing w:after="0"/>
              <w:rPr>
                <w:sz w:val="20"/>
                <w:szCs w:val="20"/>
                <w:color w:val="auto"/>
              </w:rPr>
            </w:pPr>
            <w:r>
              <w:rPr>
                <w:rFonts w:ascii="Arial" w:cs="Arial" w:eastAsia="Arial" w:hAnsi="Arial"/>
                <w:sz w:val="18"/>
                <w:szCs w:val="18"/>
                <w:b w:val="1"/>
                <w:bCs w:val="1"/>
                <w:color w:val="auto"/>
                <w:w w:val="95"/>
              </w:rPr>
              <w:t>5.5</w:t>
            </w:r>
          </w:p>
        </w:tc>
      </w:tr>
      <w:tr>
        <w:trPr>
          <w:trHeight w:val="209"/>
        </w:trPr>
        <w:tc>
          <w:tcPr>
            <w:tcW w:w="4720" w:type="dxa"/>
            <w:vAlign w:val="bottom"/>
            <w:tcBorders>
              <w:top w:val="single" w:sz="8" w:color="0065C1"/>
              <w:bottom w:val="single" w:sz="8" w:color="auto"/>
            </w:tcBorders>
          </w:tcPr>
          <w:p>
            <w:pPr>
              <w:spacing w:after="0"/>
              <w:rPr>
                <w:sz w:val="18"/>
                <w:szCs w:val="18"/>
                <w:color w:val="auto"/>
              </w:rPr>
            </w:pPr>
          </w:p>
        </w:tc>
        <w:tc>
          <w:tcPr>
            <w:tcW w:w="1200" w:type="dxa"/>
            <w:vAlign w:val="bottom"/>
            <w:tcBorders>
              <w:top w:val="single" w:sz="8" w:color="0065C1"/>
              <w:bottom w:val="single" w:sz="8" w:color="auto"/>
            </w:tcBorders>
          </w:tcPr>
          <w:p>
            <w:pPr>
              <w:spacing w:after="0"/>
              <w:rPr>
                <w:sz w:val="18"/>
                <w:szCs w:val="18"/>
                <w:color w:val="auto"/>
              </w:rPr>
            </w:pPr>
          </w:p>
        </w:tc>
        <w:tc>
          <w:tcPr>
            <w:tcW w:w="1460" w:type="dxa"/>
            <w:vAlign w:val="bottom"/>
            <w:tcBorders>
              <w:top w:val="single" w:sz="8" w:color="0065C1"/>
              <w:bottom w:val="single" w:sz="8" w:color="auto"/>
            </w:tcBorders>
          </w:tcPr>
          <w:p>
            <w:pPr>
              <w:spacing w:after="0"/>
              <w:rPr>
                <w:sz w:val="18"/>
                <w:szCs w:val="18"/>
                <w:color w:val="auto"/>
              </w:rPr>
            </w:pPr>
          </w:p>
        </w:tc>
        <w:tc>
          <w:tcPr>
            <w:tcW w:w="1480" w:type="dxa"/>
            <w:vAlign w:val="bottom"/>
            <w:tcBorders>
              <w:top w:val="single" w:sz="8" w:color="0065C1"/>
              <w:bottom w:val="single" w:sz="8" w:color="auto"/>
            </w:tcBorders>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3262630</wp:posOffset>
            </wp:positionH>
            <wp:positionV relativeFrom="paragraph">
              <wp:posOffset>-6951345</wp:posOffset>
            </wp:positionV>
            <wp:extent cx="2408555" cy="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2408555"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76835</wp:posOffset>
            </wp:positionV>
            <wp:extent cx="411480" cy="1797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117" w:lineRule="exact"/>
        <w:rPr>
          <w:sz w:val="20"/>
          <w:szCs w:val="20"/>
          <w:color w:val="auto"/>
        </w:rPr>
      </w:pPr>
    </w:p>
    <w:p>
      <w:pPr>
        <w:ind w:left="80"/>
        <w:spacing w:after="0"/>
        <w:tabs>
          <w:tab w:leader="none" w:pos="420" w:val="left"/>
        </w:tabs>
        <w:rPr>
          <w:sz w:val="20"/>
          <w:szCs w:val="20"/>
          <w:color w:val="auto"/>
        </w:rPr>
      </w:pPr>
      <w:r>
        <w:rPr>
          <w:rFonts w:ascii="Arial" w:cs="Arial" w:eastAsia="Arial" w:hAnsi="Arial"/>
          <w:sz w:val="18"/>
          <w:szCs w:val="18"/>
          <w:b w:val="1"/>
          <w:bCs w:val="1"/>
          <w:color w:val="auto"/>
        </w:rPr>
        <w:t>4</w:t>
        <w:tab/>
        <w:t>Proxy Statement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11" w:name="page12"/>
    <w:bookmarkEnd w:id="11"/>
    <w:p>
      <w:pPr>
        <w:jc w:val="right"/>
        <w:ind w:right="79"/>
        <w:spacing w:after="0"/>
        <w:rPr>
          <w:sz w:val="20"/>
          <w:szCs w:val="20"/>
          <w:color w:val="auto"/>
        </w:rPr>
      </w:pPr>
      <w:r>
        <w:rPr>
          <w:rFonts w:ascii="Arial" w:cs="Arial" w:eastAsia="Arial" w:hAnsi="Arial"/>
          <w:sz w:val="22"/>
          <w:szCs w:val="22"/>
          <w:color w:val="0065C1"/>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50165</wp:posOffset>
            </wp:positionV>
            <wp:extent cx="5623560" cy="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153" w:lineRule="exact"/>
        <w:rPr>
          <w:sz w:val="20"/>
          <w:szCs w:val="20"/>
          <w:color w:val="auto"/>
        </w:rPr>
      </w:pPr>
    </w:p>
    <w:tbl>
      <w:tblPr>
        <w:tblLayout w:type="fixed"/>
        <w:tblInd w:w="80" w:type="dxa"/>
        <w:tblCellMar>
          <w:top w:w="0" w:type="dxa"/>
          <w:left w:w="0" w:type="dxa"/>
          <w:bottom w:w="0" w:type="dxa"/>
          <w:right w:w="0" w:type="dxa"/>
        </w:tblCellMar>
      </w:tblPr>
      <w:tr>
        <w:trPr>
          <w:trHeight w:val="277"/>
        </w:trPr>
        <w:tc>
          <w:tcPr>
            <w:tcW w:w="4280" w:type="dxa"/>
            <w:vAlign w:val="bottom"/>
            <w:shd w:val="clear" w:color="auto" w:fill="0065C1"/>
          </w:tcPr>
          <w:p>
            <w:pPr>
              <w:spacing w:after="0"/>
              <w:rPr>
                <w:sz w:val="24"/>
                <w:szCs w:val="24"/>
                <w:color w:val="auto"/>
              </w:rPr>
            </w:pPr>
          </w:p>
        </w:tc>
        <w:tc>
          <w:tcPr>
            <w:tcW w:w="1940" w:type="dxa"/>
            <w:vAlign w:val="bottom"/>
            <w:shd w:val="clear" w:color="auto" w:fill="0065C1"/>
          </w:tcPr>
          <w:p>
            <w:pPr>
              <w:spacing w:after="0"/>
              <w:rPr>
                <w:sz w:val="24"/>
                <w:szCs w:val="24"/>
                <w:color w:val="auto"/>
              </w:rPr>
            </w:pPr>
          </w:p>
        </w:tc>
        <w:tc>
          <w:tcPr>
            <w:tcW w:w="1080" w:type="dxa"/>
            <w:vAlign w:val="bottom"/>
            <w:shd w:val="clear" w:color="auto" w:fill="0065C1"/>
          </w:tcPr>
          <w:p>
            <w:pPr>
              <w:spacing w:after="0"/>
              <w:rPr>
                <w:sz w:val="24"/>
                <w:szCs w:val="24"/>
                <w:color w:val="auto"/>
              </w:rPr>
            </w:pPr>
          </w:p>
        </w:tc>
        <w:tc>
          <w:tcPr>
            <w:tcW w:w="1560" w:type="dxa"/>
            <w:vAlign w:val="bottom"/>
            <w:shd w:val="clear" w:color="auto" w:fill="0065C1"/>
          </w:tcPr>
          <w:p>
            <w:pPr>
              <w:jc w:val="center"/>
              <w:ind w:left="135"/>
              <w:spacing w:after="0"/>
              <w:rPr>
                <w:sz w:val="20"/>
                <w:szCs w:val="20"/>
                <w:color w:val="auto"/>
              </w:rPr>
            </w:pPr>
            <w:r>
              <w:rPr>
                <w:rFonts w:ascii="Arial" w:cs="Arial" w:eastAsia="Arial" w:hAnsi="Arial"/>
                <w:sz w:val="16"/>
                <w:szCs w:val="16"/>
                <w:b w:val="1"/>
                <w:bCs w:val="1"/>
                <w:color w:val="FFFFFF"/>
              </w:rPr>
              <w:t>% of</w:t>
            </w:r>
          </w:p>
        </w:tc>
      </w:tr>
      <w:tr>
        <w:trPr>
          <w:trHeight w:val="189"/>
        </w:trPr>
        <w:tc>
          <w:tcPr>
            <w:tcW w:w="4280" w:type="dxa"/>
            <w:vAlign w:val="bottom"/>
            <w:shd w:val="clear" w:color="auto" w:fill="0065C1"/>
          </w:tcPr>
          <w:p>
            <w:pPr>
              <w:spacing w:after="0"/>
              <w:rPr>
                <w:sz w:val="16"/>
                <w:szCs w:val="16"/>
                <w:color w:val="auto"/>
              </w:rPr>
            </w:pPr>
          </w:p>
        </w:tc>
        <w:tc>
          <w:tcPr>
            <w:tcW w:w="1940" w:type="dxa"/>
            <w:vAlign w:val="bottom"/>
            <w:shd w:val="clear" w:color="auto" w:fill="0065C1"/>
          </w:tcPr>
          <w:p>
            <w:pPr>
              <w:spacing w:after="0"/>
              <w:rPr>
                <w:sz w:val="16"/>
                <w:szCs w:val="16"/>
                <w:color w:val="auto"/>
              </w:rPr>
            </w:pPr>
          </w:p>
        </w:tc>
        <w:tc>
          <w:tcPr>
            <w:tcW w:w="1080" w:type="dxa"/>
            <w:vAlign w:val="bottom"/>
            <w:shd w:val="clear" w:color="auto" w:fill="0065C1"/>
          </w:tcPr>
          <w:p>
            <w:pPr>
              <w:spacing w:after="0"/>
              <w:rPr>
                <w:sz w:val="16"/>
                <w:szCs w:val="16"/>
                <w:color w:val="auto"/>
              </w:rPr>
            </w:pPr>
          </w:p>
        </w:tc>
        <w:tc>
          <w:tcPr>
            <w:tcW w:w="1560" w:type="dxa"/>
            <w:vAlign w:val="bottom"/>
            <w:shd w:val="clear" w:color="auto" w:fill="0065C1"/>
          </w:tcPr>
          <w:p>
            <w:pPr>
              <w:jc w:val="center"/>
              <w:ind w:left="135"/>
              <w:spacing w:after="0"/>
              <w:rPr>
                <w:sz w:val="20"/>
                <w:szCs w:val="20"/>
                <w:color w:val="auto"/>
              </w:rPr>
            </w:pPr>
            <w:r>
              <w:rPr>
                <w:rFonts w:ascii="Arial" w:cs="Arial" w:eastAsia="Arial" w:hAnsi="Arial"/>
                <w:sz w:val="16"/>
                <w:szCs w:val="16"/>
                <w:b w:val="1"/>
                <w:bCs w:val="1"/>
                <w:color w:val="FFFFFF"/>
                <w:w w:val="99"/>
              </w:rPr>
              <w:t>Total</w:t>
            </w:r>
          </w:p>
        </w:tc>
      </w:tr>
      <w:tr>
        <w:trPr>
          <w:trHeight w:val="189"/>
        </w:trPr>
        <w:tc>
          <w:tcPr>
            <w:tcW w:w="4280" w:type="dxa"/>
            <w:vAlign w:val="bottom"/>
            <w:shd w:val="clear" w:color="auto" w:fill="0065C1"/>
          </w:tcPr>
          <w:p>
            <w:pPr>
              <w:spacing w:after="0"/>
              <w:rPr>
                <w:sz w:val="16"/>
                <w:szCs w:val="16"/>
                <w:color w:val="auto"/>
              </w:rPr>
            </w:pPr>
          </w:p>
        </w:tc>
        <w:tc>
          <w:tcPr>
            <w:tcW w:w="1940" w:type="dxa"/>
            <w:vAlign w:val="bottom"/>
            <w:shd w:val="clear" w:color="auto" w:fill="0065C1"/>
          </w:tcPr>
          <w:p>
            <w:pPr>
              <w:jc w:val="center"/>
              <w:ind w:left="314"/>
              <w:spacing w:after="0"/>
              <w:rPr>
                <w:sz w:val="20"/>
                <w:szCs w:val="20"/>
                <w:color w:val="auto"/>
              </w:rPr>
            </w:pPr>
            <w:r>
              <w:rPr>
                <w:rFonts w:ascii="Arial" w:cs="Arial" w:eastAsia="Arial" w:hAnsi="Arial"/>
                <w:sz w:val="16"/>
                <w:szCs w:val="16"/>
                <w:b w:val="1"/>
                <w:bCs w:val="1"/>
                <w:color w:val="FFFFFF"/>
              </w:rPr>
              <w:t>Number of</w:t>
            </w:r>
          </w:p>
        </w:tc>
        <w:tc>
          <w:tcPr>
            <w:tcW w:w="108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 of</w:t>
            </w:r>
          </w:p>
        </w:tc>
        <w:tc>
          <w:tcPr>
            <w:tcW w:w="1560" w:type="dxa"/>
            <w:vAlign w:val="bottom"/>
            <w:shd w:val="clear" w:color="auto" w:fill="0065C1"/>
          </w:tcPr>
          <w:p>
            <w:pPr>
              <w:jc w:val="center"/>
              <w:ind w:left="175"/>
              <w:spacing w:after="0"/>
              <w:rPr>
                <w:sz w:val="20"/>
                <w:szCs w:val="20"/>
                <w:color w:val="auto"/>
              </w:rPr>
            </w:pPr>
            <w:r>
              <w:rPr>
                <w:rFonts w:ascii="Arial" w:cs="Arial" w:eastAsia="Arial" w:hAnsi="Arial"/>
                <w:sz w:val="16"/>
                <w:szCs w:val="16"/>
                <w:b w:val="1"/>
                <w:bCs w:val="1"/>
                <w:color w:val="FFFFFF"/>
              </w:rPr>
              <w:t>Common</w:t>
            </w:r>
          </w:p>
        </w:tc>
      </w:tr>
      <w:tr>
        <w:trPr>
          <w:trHeight w:val="257"/>
        </w:trPr>
        <w:tc>
          <w:tcPr>
            <w:tcW w:w="4280" w:type="dxa"/>
            <w:vAlign w:val="bottom"/>
            <w:tcBorders>
              <w:bottom w:val="single" w:sz="8" w:color="0065C1"/>
            </w:tcBorders>
            <w:shd w:val="clear" w:color="auto" w:fill="0065C1"/>
          </w:tcPr>
          <w:p>
            <w:pPr>
              <w:ind w:left="100"/>
              <w:spacing w:after="0"/>
              <w:rPr>
                <w:sz w:val="20"/>
                <w:szCs w:val="20"/>
                <w:color w:val="auto"/>
              </w:rPr>
            </w:pPr>
            <w:r>
              <w:rPr>
                <w:rFonts w:ascii="Arial" w:cs="Arial" w:eastAsia="Arial" w:hAnsi="Arial"/>
                <w:sz w:val="16"/>
                <w:szCs w:val="16"/>
                <w:b w:val="1"/>
                <w:bCs w:val="1"/>
                <w:color w:val="FFFFFF"/>
              </w:rPr>
              <w:t>Class E Common Stock</w:t>
            </w:r>
          </w:p>
        </w:tc>
        <w:tc>
          <w:tcPr>
            <w:tcW w:w="1940" w:type="dxa"/>
            <w:vAlign w:val="bottom"/>
            <w:tcBorders>
              <w:bottom w:val="single" w:sz="8" w:color="0065C1"/>
            </w:tcBorders>
            <w:shd w:val="clear" w:color="auto" w:fill="0065C1"/>
          </w:tcPr>
          <w:p>
            <w:pPr>
              <w:jc w:val="center"/>
              <w:ind w:left="354"/>
              <w:spacing w:after="0"/>
              <w:rPr>
                <w:sz w:val="20"/>
                <w:szCs w:val="20"/>
                <w:color w:val="auto"/>
              </w:rPr>
            </w:pPr>
            <w:r>
              <w:rPr>
                <w:rFonts w:ascii="Arial" w:cs="Arial" w:eastAsia="Arial" w:hAnsi="Arial"/>
                <w:sz w:val="16"/>
                <w:szCs w:val="16"/>
                <w:b w:val="1"/>
                <w:bCs w:val="1"/>
                <w:color w:val="FFFFFF"/>
              </w:rPr>
              <w:t>Shares</w:t>
            </w:r>
          </w:p>
        </w:tc>
        <w:tc>
          <w:tcPr>
            <w:tcW w:w="1080" w:type="dxa"/>
            <w:vAlign w:val="bottom"/>
            <w:tcBorders>
              <w:bottom w:val="single" w:sz="8" w:color="0065C1"/>
            </w:tcBorders>
            <w:shd w:val="clear" w:color="auto" w:fill="0065C1"/>
          </w:tcPr>
          <w:p>
            <w:pPr>
              <w:jc w:val="center"/>
              <w:spacing w:after="0"/>
              <w:rPr>
                <w:sz w:val="20"/>
                <w:szCs w:val="20"/>
                <w:color w:val="auto"/>
              </w:rPr>
            </w:pPr>
            <w:r>
              <w:rPr>
                <w:rFonts w:ascii="Arial" w:cs="Arial" w:eastAsia="Arial" w:hAnsi="Arial"/>
                <w:sz w:val="16"/>
                <w:szCs w:val="16"/>
                <w:b w:val="1"/>
                <w:bCs w:val="1"/>
                <w:color w:val="FFFFFF"/>
                <w:w w:val="98"/>
              </w:rPr>
              <w:t>Class</w:t>
            </w:r>
          </w:p>
        </w:tc>
        <w:tc>
          <w:tcPr>
            <w:tcW w:w="1560" w:type="dxa"/>
            <w:vAlign w:val="bottom"/>
            <w:tcBorders>
              <w:bottom w:val="single" w:sz="8" w:color="0065C1"/>
            </w:tcBorders>
            <w:shd w:val="clear" w:color="auto" w:fill="0065C1"/>
          </w:tcPr>
          <w:p>
            <w:pPr>
              <w:jc w:val="center"/>
              <w:ind w:left="195"/>
              <w:spacing w:after="0"/>
              <w:rPr>
                <w:sz w:val="20"/>
                <w:szCs w:val="20"/>
                <w:color w:val="auto"/>
              </w:rPr>
            </w:pPr>
            <w:r>
              <w:rPr>
                <w:rFonts w:ascii="Arial" w:cs="Arial" w:eastAsia="Arial" w:hAnsi="Arial"/>
                <w:sz w:val="16"/>
                <w:szCs w:val="16"/>
                <w:b w:val="1"/>
                <w:bCs w:val="1"/>
                <w:color w:val="FFFFFF"/>
              </w:rPr>
              <w:t>Stock</w:t>
            </w:r>
          </w:p>
        </w:tc>
      </w:tr>
      <w:tr>
        <w:trPr>
          <w:trHeight w:val="247"/>
        </w:trPr>
        <w:tc>
          <w:tcPr>
            <w:tcW w:w="4280" w:type="dxa"/>
            <w:vAlign w:val="bottom"/>
            <w:shd w:val="clear" w:color="auto" w:fill="D7E7F5"/>
          </w:tcPr>
          <w:p>
            <w:pPr>
              <w:ind w:left="100"/>
              <w:spacing w:after="0" w:line="247" w:lineRule="exact"/>
              <w:rPr>
                <w:sz w:val="20"/>
                <w:szCs w:val="20"/>
                <w:color w:val="auto"/>
              </w:rPr>
            </w:pPr>
            <w:r>
              <w:rPr>
                <w:rFonts w:ascii="Arial" w:cs="Arial" w:eastAsia="Arial" w:hAnsi="Arial"/>
                <w:sz w:val="17"/>
                <w:szCs w:val="17"/>
                <w:color w:val="auto"/>
              </w:rPr>
              <w:t>Brandes Investment Partners, LP</w:t>
            </w:r>
            <w:r>
              <w:rPr>
                <w:rFonts w:ascii="Arial" w:cs="Arial" w:eastAsia="Arial" w:hAnsi="Arial"/>
                <w:sz w:val="28"/>
                <w:szCs w:val="28"/>
                <w:color w:val="auto"/>
                <w:vertAlign w:val="superscript"/>
              </w:rPr>
              <w:t>(1)</w:t>
            </w:r>
          </w:p>
        </w:tc>
        <w:tc>
          <w:tcPr>
            <w:tcW w:w="1940" w:type="dxa"/>
            <w:vAlign w:val="bottom"/>
            <w:shd w:val="clear" w:color="auto" w:fill="D7E7F5"/>
          </w:tcPr>
          <w:p>
            <w:pPr>
              <w:spacing w:after="0"/>
              <w:rPr>
                <w:sz w:val="21"/>
                <w:szCs w:val="21"/>
                <w:color w:val="auto"/>
              </w:rPr>
            </w:pPr>
          </w:p>
        </w:tc>
        <w:tc>
          <w:tcPr>
            <w:tcW w:w="1080" w:type="dxa"/>
            <w:vAlign w:val="bottom"/>
            <w:shd w:val="clear" w:color="auto" w:fill="D7E7F5"/>
          </w:tcPr>
          <w:p>
            <w:pPr>
              <w:spacing w:after="0"/>
              <w:rPr>
                <w:sz w:val="21"/>
                <w:szCs w:val="21"/>
                <w:color w:val="auto"/>
              </w:rPr>
            </w:pPr>
          </w:p>
        </w:tc>
        <w:tc>
          <w:tcPr>
            <w:tcW w:w="1560" w:type="dxa"/>
            <w:vAlign w:val="bottom"/>
            <w:shd w:val="clear" w:color="auto" w:fill="D7E7F5"/>
          </w:tcPr>
          <w:p>
            <w:pPr>
              <w:spacing w:after="0"/>
              <w:rPr>
                <w:sz w:val="21"/>
                <w:szCs w:val="21"/>
                <w:color w:val="auto"/>
              </w:rPr>
            </w:pPr>
          </w:p>
        </w:tc>
      </w:tr>
      <w:tr>
        <w:trPr>
          <w:trHeight w:val="202"/>
        </w:trPr>
        <w:tc>
          <w:tcPr>
            <w:tcW w:w="4280" w:type="dxa"/>
            <w:vAlign w:val="bottom"/>
            <w:shd w:val="clear" w:color="auto" w:fill="D7E7F5"/>
          </w:tcPr>
          <w:p>
            <w:pPr>
              <w:ind w:left="100"/>
              <w:spacing w:after="0" w:line="202" w:lineRule="exact"/>
              <w:rPr>
                <w:sz w:val="20"/>
                <w:szCs w:val="20"/>
                <w:color w:val="auto"/>
              </w:rPr>
            </w:pPr>
            <w:r>
              <w:rPr>
                <w:rFonts w:ascii="Arial" w:cs="Arial" w:eastAsia="Arial" w:hAnsi="Arial"/>
                <w:sz w:val="18"/>
                <w:szCs w:val="18"/>
                <w:color w:val="auto"/>
              </w:rPr>
              <w:t>11988 El Camino Real, Suite 600</w:t>
            </w:r>
          </w:p>
        </w:tc>
        <w:tc>
          <w:tcPr>
            <w:tcW w:w="1940" w:type="dxa"/>
            <w:vAlign w:val="bottom"/>
            <w:shd w:val="clear" w:color="auto" w:fill="D7E7F5"/>
          </w:tcPr>
          <w:p>
            <w:pPr>
              <w:spacing w:after="0"/>
              <w:rPr>
                <w:sz w:val="17"/>
                <w:szCs w:val="17"/>
                <w:color w:val="auto"/>
              </w:rPr>
            </w:pPr>
          </w:p>
        </w:tc>
        <w:tc>
          <w:tcPr>
            <w:tcW w:w="1080" w:type="dxa"/>
            <w:vAlign w:val="bottom"/>
            <w:shd w:val="clear" w:color="auto" w:fill="D7E7F5"/>
          </w:tcPr>
          <w:p>
            <w:pPr>
              <w:spacing w:after="0"/>
              <w:rPr>
                <w:sz w:val="17"/>
                <w:szCs w:val="17"/>
                <w:color w:val="auto"/>
              </w:rPr>
            </w:pPr>
          </w:p>
        </w:tc>
        <w:tc>
          <w:tcPr>
            <w:tcW w:w="1560" w:type="dxa"/>
            <w:vAlign w:val="bottom"/>
            <w:shd w:val="clear" w:color="auto" w:fill="D7E7F5"/>
          </w:tcPr>
          <w:p>
            <w:pPr>
              <w:spacing w:after="0"/>
              <w:rPr>
                <w:sz w:val="17"/>
                <w:szCs w:val="17"/>
                <w:color w:val="auto"/>
              </w:rPr>
            </w:pPr>
          </w:p>
        </w:tc>
      </w:tr>
      <w:tr>
        <w:trPr>
          <w:trHeight w:val="203"/>
        </w:trPr>
        <w:tc>
          <w:tcPr>
            <w:tcW w:w="4280" w:type="dxa"/>
            <w:vAlign w:val="bottom"/>
            <w:shd w:val="clear" w:color="auto" w:fill="D7E7F5"/>
          </w:tcPr>
          <w:p>
            <w:pPr>
              <w:ind w:left="100"/>
              <w:spacing w:after="0" w:line="202" w:lineRule="exact"/>
              <w:rPr>
                <w:sz w:val="20"/>
                <w:szCs w:val="20"/>
                <w:color w:val="auto"/>
              </w:rPr>
            </w:pPr>
            <w:r>
              <w:rPr>
                <w:rFonts w:ascii="Arial" w:cs="Arial" w:eastAsia="Arial" w:hAnsi="Arial"/>
                <w:sz w:val="18"/>
                <w:szCs w:val="18"/>
                <w:color w:val="auto"/>
              </w:rPr>
              <w:t>San Diego, California 92130</w:t>
            </w:r>
          </w:p>
        </w:tc>
        <w:tc>
          <w:tcPr>
            <w:tcW w:w="1940" w:type="dxa"/>
            <w:vAlign w:val="bottom"/>
            <w:shd w:val="clear" w:color="auto" w:fill="D7E7F5"/>
          </w:tcPr>
          <w:p>
            <w:pPr>
              <w:spacing w:after="0"/>
              <w:rPr>
                <w:sz w:val="17"/>
                <w:szCs w:val="17"/>
                <w:color w:val="auto"/>
              </w:rPr>
            </w:pPr>
          </w:p>
        </w:tc>
        <w:tc>
          <w:tcPr>
            <w:tcW w:w="1080" w:type="dxa"/>
            <w:vAlign w:val="bottom"/>
            <w:shd w:val="clear" w:color="auto" w:fill="D7E7F5"/>
          </w:tcPr>
          <w:p>
            <w:pPr>
              <w:spacing w:after="0"/>
              <w:rPr>
                <w:sz w:val="17"/>
                <w:szCs w:val="17"/>
                <w:color w:val="auto"/>
              </w:rPr>
            </w:pPr>
          </w:p>
        </w:tc>
        <w:tc>
          <w:tcPr>
            <w:tcW w:w="1560" w:type="dxa"/>
            <w:vAlign w:val="bottom"/>
            <w:shd w:val="clear" w:color="auto" w:fill="D7E7F5"/>
          </w:tcPr>
          <w:p>
            <w:pPr>
              <w:spacing w:after="0"/>
              <w:rPr>
                <w:sz w:val="17"/>
                <w:szCs w:val="17"/>
                <w:color w:val="auto"/>
              </w:rPr>
            </w:pPr>
          </w:p>
        </w:tc>
      </w:tr>
      <w:tr>
        <w:trPr>
          <w:trHeight w:val="273"/>
        </w:trPr>
        <w:tc>
          <w:tcPr>
            <w:tcW w:w="428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United States</w:t>
            </w:r>
          </w:p>
        </w:tc>
        <w:tc>
          <w:tcPr>
            <w:tcW w:w="1940" w:type="dxa"/>
            <w:vAlign w:val="bottom"/>
            <w:tcBorders>
              <w:bottom w:val="single" w:sz="8" w:color="D7E7F5"/>
            </w:tcBorders>
            <w:shd w:val="clear" w:color="auto" w:fill="D7E7F5"/>
          </w:tcPr>
          <w:p>
            <w:pPr>
              <w:jc w:val="right"/>
              <w:ind w:right="214"/>
              <w:spacing w:after="0"/>
              <w:rPr>
                <w:sz w:val="20"/>
                <w:szCs w:val="20"/>
                <w:color w:val="auto"/>
              </w:rPr>
            </w:pPr>
            <w:r>
              <w:rPr>
                <w:rFonts w:ascii="Arial" w:cs="Arial" w:eastAsia="Arial" w:hAnsi="Arial"/>
                <w:sz w:val="18"/>
                <w:szCs w:val="18"/>
                <w:color w:val="auto"/>
              </w:rPr>
              <w:t>5,720,951</w:t>
            </w:r>
          </w:p>
        </w:tc>
        <w:tc>
          <w:tcPr>
            <w:tcW w:w="1080" w:type="dxa"/>
            <w:vAlign w:val="bottom"/>
            <w:tcBorders>
              <w:bottom w:val="single" w:sz="8" w:color="D7E7F5"/>
            </w:tcBorders>
            <w:shd w:val="clear" w:color="auto" w:fill="D7E7F5"/>
          </w:tcPr>
          <w:p>
            <w:pPr>
              <w:jc w:val="right"/>
              <w:ind w:right="234"/>
              <w:spacing w:after="0"/>
              <w:rPr>
                <w:sz w:val="20"/>
                <w:szCs w:val="20"/>
                <w:color w:val="auto"/>
              </w:rPr>
            </w:pPr>
            <w:r>
              <w:rPr>
                <w:rFonts w:ascii="Arial" w:cs="Arial" w:eastAsia="Arial" w:hAnsi="Arial"/>
                <w:sz w:val="18"/>
                <w:szCs w:val="18"/>
                <w:color w:val="auto"/>
              </w:rPr>
              <w:t>18.4</w:t>
            </w:r>
          </w:p>
        </w:tc>
        <w:tc>
          <w:tcPr>
            <w:tcW w:w="1560" w:type="dxa"/>
            <w:vAlign w:val="bottom"/>
            <w:tcBorders>
              <w:bottom w:val="single" w:sz="8" w:color="D7E7F5"/>
            </w:tcBorders>
            <w:shd w:val="clear" w:color="auto" w:fill="D7E7F5"/>
          </w:tcPr>
          <w:p>
            <w:pPr>
              <w:jc w:val="right"/>
              <w:ind w:right="375"/>
              <w:spacing w:after="0"/>
              <w:rPr>
                <w:sz w:val="20"/>
                <w:szCs w:val="20"/>
                <w:color w:val="auto"/>
              </w:rPr>
            </w:pPr>
            <w:r>
              <w:rPr>
                <w:rFonts w:ascii="Arial" w:cs="Arial" w:eastAsia="Arial" w:hAnsi="Arial"/>
                <w:sz w:val="18"/>
                <w:szCs w:val="18"/>
                <w:color w:val="auto"/>
              </w:rPr>
              <w:t>14.4</w:t>
            </w:r>
          </w:p>
        </w:tc>
      </w:tr>
      <w:tr>
        <w:trPr>
          <w:trHeight w:val="247"/>
        </w:trPr>
        <w:tc>
          <w:tcPr>
            <w:tcW w:w="4280" w:type="dxa"/>
            <w:vAlign w:val="bottom"/>
          </w:tcPr>
          <w:p>
            <w:pPr>
              <w:ind w:left="100"/>
              <w:spacing w:after="0" w:line="247" w:lineRule="exact"/>
              <w:rPr>
                <w:sz w:val="20"/>
                <w:szCs w:val="20"/>
                <w:color w:val="auto"/>
              </w:rPr>
            </w:pPr>
            <w:r>
              <w:rPr>
                <w:rFonts w:ascii="Arial" w:cs="Arial" w:eastAsia="Arial" w:hAnsi="Arial"/>
                <w:sz w:val="17"/>
                <w:szCs w:val="17"/>
                <w:color w:val="auto"/>
              </w:rPr>
              <w:t>BlackRock, Inc.</w:t>
            </w:r>
            <w:r>
              <w:rPr>
                <w:rFonts w:ascii="Arial" w:cs="Arial" w:eastAsia="Arial" w:hAnsi="Arial"/>
                <w:sz w:val="28"/>
                <w:szCs w:val="28"/>
                <w:color w:val="auto"/>
                <w:vertAlign w:val="superscript"/>
              </w:rPr>
              <w:t>(2)</w:t>
            </w:r>
          </w:p>
        </w:tc>
        <w:tc>
          <w:tcPr>
            <w:tcW w:w="1940" w:type="dxa"/>
            <w:vAlign w:val="bottom"/>
          </w:tcPr>
          <w:p>
            <w:pPr>
              <w:spacing w:after="0"/>
              <w:rPr>
                <w:sz w:val="21"/>
                <w:szCs w:val="21"/>
                <w:color w:val="auto"/>
              </w:rPr>
            </w:pPr>
          </w:p>
        </w:tc>
        <w:tc>
          <w:tcPr>
            <w:tcW w:w="1080" w:type="dxa"/>
            <w:vAlign w:val="bottom"/>
          </w:tcPr>
          <w:p>
            <w:pPr>
              <w:spacing w:after="0"/>
              <w:rPr>
                <w:sz w:val="21"/>
                <w:szCs w:val="21"/>
                <w:color w:val="auto"/>
              </w:rPr>
            </w:pPr>
          </w:p>
        </w:tc>
        <w:tc>
          <w:tcPr>
            <w:tcW w:w="1560" w:type="dxa"/>
            <w:vAlign w:val="bottom"/>
          </w:tcPr>
          <w:p>
            <w:pPr>
              <w:spacing w:after="0"/>
              <w:rPr>
                <w:sz w:val="21"/>
                <w:szCs w:val="21"/>
                <w:color w:val="auto"/>
              </w:rPr>
            </w:pPr>
          </w:p>
        </w:tc>
      </w:tr>
      <w:tr>
        <w:trPr>
          <w:trHeight w:val="203"/>
        </w:trPr>
        <w:tc>
          <w:tcPr>
            <w:tcW w:w="4280" w:type="dxa"/>
            <w:vAlign w:val="bottom"/>
          </w:tcPr>
          <w:p>
            <w:pPr>
              <w:ind w:left="100"/>
              <w:spacing w:after="0" w:line="202" w:lineRule="exact"/>
              <w:rPr>
                <w:sz w:val="20"/>
                <w:szCs w:val="20"/>
                <w:color w:val="auto"/>
              </w:rPr>
            </w:pPr>
            <w:r>
              <w:rPr>
                <w:rFonts w:ascii="Arial" w:cs="Arial" w:eastAsia="Arial" w:hAnsi="Arial"/>
                <w:sz w:val="18"/>
                <w:szCs w:val="18"/>
                <w:color w:val="auto"/>
              </w:rPr>
              <w:t>55 East 52nd Street</w:t>
            </w:r>
          </w:p>
        </w:tc>
        <w:tc>
          <w:tcPr>
            <w:tcW w:w="194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1560" w:type="dxa"/>
            <w:vAlign w:val="bottom"/>
          </w:tcPr>
          <w:p>
            <w:pPr>
              <w:spacing w:after="0"/>
              <w:rPr>
                <w:sz w:val="17"/>
                <w:szCs w:val="17"/>
                <w:color w:val="auto"/>
              </w:rPr>
            </w:pPr>
          </w:p>
        </w:tc>
      </w:tr>
      <w:tr>
        <w:trPr>
          <w:trHeight w:val="203"/>
        </w:trPr>
        <w:tc>
          <w:tcPr>
            <w:tcW w:w="4280" w:type="dxa"/>
            <w:vAlign w:val="bottom"/>
          </w:tcPr>
          <w:p>
            <w:pPr>
              <w:ind w:left="100"/>
              <w:spacing w:after="0" w:line="202" w:lineRule="exact"/>
              <w:rPr>
                <w:sz w:val="20"/>
                <w:szCs w:val="20"/>
                <w:color w:val="auto"/>
              </w:rPr>
            </w:pPr>
            <w:r>
              <w:rPr>
                <w:rFonts w:ascii="Arial" w:cs="Arial" w:eastAsia="Arial" w:hAnsi="Arial"/>
                <w:sz w:val="18"/>
                <w:szCs w:val="18"/>
                <w:color w:val="auto"/>
              </w:rPr>
              <w:t>New York, NY 10055</w:t>
            </w:r>
          </w:p>
        </w:tc>
        <w:tc>
          <w:tcPr>
            <w:tcW w:w="194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1560" w:type="dxa"/>
            <w:vAlign w:val="bottom"/>
          </w:tcPr>
          <w:p>
            <w:pPr>
              <w:spacing w:after="0"/>
              <w:rPr>
                <w:sz w:val="17"/>
                <w:szCs w:val="17"/>
                <w:color w:val="auto"/>
              </w:rPr>
            </w:pPr>
          </w:p>
        </w:tc>
      </w:tr>
      <w:tr>
        <w:trPr>
          <w:trHeight w:val="243"/>
        </w:trPr>
        <w:tc>
          <w:tcPr>
            <w:tcW w:w="4280" w:type="dxa"/>
            <w:vAlign w:val="bottom"/>
          </w:tcPr>
          <w:p>
            <w:pPr>
              <w:ind w:left="100"/>
              <w:spacing w:after="0"/>
              <w:rPr>
                <w:sz w:val="20"/>
                <w:szCs w:val="20"/>
                <w:color w:val="auto"/>
              </w:rPr>
            </w:pPr>
            <w:r>
              <w:rPr>
                <w:rFonts w:ascii="Arial" w:cs="Arial" w:eastAsia="Arial" w:hAnsi="Arial"/>
                <w:sz w:val="18"/>
                <w:szCs w:val="18"/>
                <w:color w:val="auto"/>
              </w:rPr>
              <w:t>United States</w:t>
            </w:r>
          </w:p>
        </w:tc>
        <w:tc>
          <w:tcPr>
            <w:tcW w:w="1940" w:type="dxa"/>
            <w:vAlign w:val="bottom"/>
          </w:tcPr>
          <w:p>
            <w:pPr>
              <w:jc w:val="right"/>
              <w:ind w:right="214"/>
              <w:spacing w:after="0"/>
              <w:rPr>
                <w:sz w:val="20"/>
                <w:szCs w:val="20"/>
                <w:color w:val="auto"/>
              </w:rPr>
            </w:pPr>
            <w:r>
              <w:rPr>
                <w:rFonts w:ascii="Arial" w:cs="Arial" w:eastAsia="Arial" w:hAnsi="Arial"/>
                <w:sz w:val="18"/>
                <w:szCs w:val="18"/>
                <w:color w:val="auto"/>
              </w:rPr>
              <w:t>1,554,037</w:t>
            </w:r>
          </w:p>
        </w:tc>
        <w:tc>
          <w:tcPr>
            <w:tcW w:w="1080" w:type="dxa"/>
            <w:vAlign w:val="bottom"/>
          </w:tcPr>
          <w:p>
            <w:pPr>
              <w:jc w:val="right"/>
              <w:ind w:right="234"/>
              <w:spacing w:after="0"/>
              <w:rPr>
                <w:sz w:val="20"/>
                <w:szCs w:val="20"/>
                <w:color w:val="auto"/>
              </w:rPr>
            </w:pPr>
            <w:r>
              <w:rPr>
                <w:rFonts w:ascii="Arial" w:cs="Arial" w:eastAsia="Arial" w:hAnsi="Arial"/>
                <w:sz w:val="18"/>
                <w:szCs w:val="18"/>
                <w:color w:val="auto"/>
              </w:rPr>
              <w:t>5.0</w:t>
            </w:r>
          </w:p>
        </w:tc>
        <w:tc>
          <w:tcPr>
            <w:tcW w:w="1560" w:type="dxa"/>
            <w:vAlign w:val="bottom"/>
          </w:tcPr>
          <w:p>
            <w:pPr>
              <w:jc w:val="right"/>
              <w:ind w:right="395"/>
              <w:spacing w:after="0"/>
              <w:rPr>
                <w:sz w:val="20"/>
                <w:szCs w:val="20"/>
                <w:color w:val="auto"/>
              </w:rPr>
            </w:pPr>
            <w:r>
              <w:rPr>
                <w:rFonts w:ascii="Arial" w:cs="Arial" w:eastAsia="Arial" w:hAnsi="Arial"/>
                <w:sz w:val="18"/>
                <w:szCs w:val="18"/>
                <w:color w:val="auto"/>
              </w:rPr>
              <w:t>3.9</w:t>
            </w:r>
          </w:p>
        </w:tc>
      </w:tr>
      <w:tr>
        <w:trPr>
          <w:trHeight w:val="50"/>
        </w:trPr>
        <w:tc>
          <w:tcPr>
            <w:tcW w:w="4280" w:type="dxa"/>
            <w:vAlign w:val="bottom"/>
          </w:tcPr>
          <w:p>
            <w:pPr>
              <w:spacing w:after="0"/>
              <w:rPr>
                <w:sz w:val="4"/>
                <w:szCs w:val="4"/>
                <w:color w:val="auto"/>
              </w:rPr>
            </w:pPr>
          </w:p>
        </w:tc>
        <w:tc>
          <w:tcPr>
            <w:tcW w:w="1940" w:type="dxa"/>
            <w:vAlign w:val="bottom"/>
          </w:tcPr>
          <w:p>
            <w:pPr>
              <w:spacing w:after="0"/>
              <w:rPr>
                <w:sz w:val="4"/>
                <w:szCs w:val="4"/>
                <w:color w:val="auto"/>
              </w:rPr>
            </w:pPr>
          </w:p>
        </w:tc>
        <w:tc>
          <w:tcPr>
            <w:tcW w:w="1080" w:type="dxa"/>
            <w:vAlign w:val="bottom"/>
          </w:tcPr>
          <w:p>
            <w:pPr>
              <w:spacing w:after="0"/>
              <w:rPr>
                <w:sz w:val="4"/>
                <w:szCs w:val="4"/>
                <w:color w:val="auto"/>
              </w:rPr>
            </w:pPr>
          </w:p>
        </w:tc>
        <w:tc>
          <w:tcPr>
            <w:tcW w:w="1560" w:type="dxa"/>
            <w:vAlign w:val="bottom"/>
          </w:tcPr>
          <w:p>
            <w:pPr>
              <w:spacing w:after="0"/>
              <w:rPr>
                <w:sz w:val="4"/>
                <w:szCs w:val="4"/>
                <w:color w:val="auto"/>
              </w:rPr>
            </w:pPr>
          </w:p>
        </w:tc>
      </w:tr>
      <w:tr>
        <w:trPr>
          <w:trHeight w:val="318"/>
        </w:trPr>
        <w:tc>
          <w:tcPr>
            <w:tcW w:w="428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Sub-total shares of Class E Common Stock</w:t>
            </w:r>
          </w:p>
        </w:tc>
        <w:tc>
          <w:tcPr>
            <w:tcW w:w="1940" w:type="dxa"/>
            <w:vAlign w:val="bottom"/>
            <w:tcBorders>
              <w:bottom w:val="single" w:sz="8" w:color="D7E7F5"/>
            </w:tcBorders>
            <w:shd w:val="clear" w:color="auto" w:fill="D7E7F5"/>
          </w:tcPr>
          <w:p>
            <w:pPr>
              <w:jc w:val="right"/>
              <w:ind w:right="214"/>
              <w:spacing w:after="0"/>
              <w:rPr>
                <w:sz w:val="20"/>
                <w:szCs w:val="20"/>
                <w:color w:val="auto"/>
              </w:rPr>
            </w:pPr>
            <w:r>
              <w:rPr>
                <w:rFonts w:ascii="Arial" w:cs="Arial" w:eastAsia="Arial" w:hAnsi="Arial"/>
                <w:sz w:val="18"/>
                <w:szCs w:val="18"/>
                <w:color w:val="auto"/>
              </w:rPr>
              <w:t>7,274,988</w:t>
            </w:r>
          </w:p>
        </w:tc>
        <w:tc>
          <w:tcPr>
            <w:tcW w:w="1080" w:type="dxa"/>
            <w:vAlign w:val="bottom"/>
            <w:tcBorders>
              <w:bottom w:val="single" w:sz="8" w:color="D7E7F5"/>
            </w:tcBorders>
            <w:shd w:val="clear" w:color="auto" w:fill="D7E7F5"/>
          </w:tcPr>
          <w:p>
            <w:pPr>
              <w:jc w:val="right"/>
              <w:ind w:right="234"/>
              <w:spacing w:after="0"/>
              <w:rPr>
                <w:sz w:val="20"/>
                <w:szCs w:val="20"/>
                <w:color w:val="auto"/>
              </w:rPr>
            </w:pPr>
            <w:r>
              <w:rPr>
                <w:rFonts w:ascii="Arial" w:cs="Arial" w:eastAsia="Arial" w:hAnsi="Arial"/>
                <w:sz w:val="18"/>
                <w:szCs w:val="18"/>
                <w:color w:val="auto"/>
              </w:rPr>
              <w:t>23.4</w:t>
            </w:r>
          </w:p>
        </w:tc>
        <w:tc>
          <w:tcPr>
            <w:tcW w:w="1560" w:type="dxa"/>
            <w:vAlign w:val="bottom"/>
            <w:tcBorders>
              <w:bottom w:val="single" w:sz="8" w:color="D7E7F5"/>
            </w:tcBorders>
            <w:shd w:val="clear" w:color="auto" w:fill="D7E7F5"/>
          </w:tcPr>
          <w:p>
            <w:pPr>
              <w:jc w:val="right"/>
              <w:ind w:right="375"/>
              <w:spacing w:after="0"/>
              <w:rPr>
                <w:sz w:val="20"/>
                <w:szCs w:val="20"/>
                <w:color w:val="auto"/>
              </w:rPr>
            </w:pPr>
            <w:r>
              <w:rPr>
                <w:rFonts w:ascii="Arial" w:cs="Arial" w:eastAsia="Arial" w:hAnsi="Arial"/>
                <w:sz w:val="18"/>
                <w:szCs w:val="18"/>
                <w:color w:val="auto"/>
              </w:rPr>
              <w:t>18.3</w:t>
            </w:r>
          </w:p>
        </w:tc>
      </w:tr>
      <w:tr>
        <w:trPr>
          <w:trHeight w:val="296"/>
        </w:trPr>
        <w:tc>
          <w:tcPr>
            <w:tcW w:w="4280" w:type="dxa"/>
            <w:vAlign w:val="bottom"/>
          </w:tcPr>
          <w:p>
            <w:pPr>
              <w:ind w:left="100"/>
              <w:spacing w:after="0"/>
              <w:rPr>
                <w:sz w:val="20"/>
                <w:szCs w:val="20"/>
                <w:color w:val="auto"/>
              </w:rPr>
            </w:pPr>
            <w:r>
              <w:rPr>
                <w:rFonts w:ascii="Arial" w:cs="Arial" w:eastAsia="Arial" w:hAnsi="Arial"/>
                <w:sz w:val="18"/>
                <w:szCs w:val="18"/>
                <w:b w:val="1"/>
                <w:bCs w:val="1"/>
                <w:color w:val="auto"/>
              </w:rPr>
              <w:t>Total Shares of Class E Common Stock</w:t>
            </w:r>
          </w:p>
        </w:tc>
        <w:tc>
          <w:tcPr>
            <w:tcW w:w="1940" w:type="dxa"/>
            <w:vAlign w:val="bottom"/>
          </w:tcPr>
          <w:p>
            <w:pPr>
              <w:jc w:val="right"/>
              <w:ind w:right="214"/>
              <w:spacing w:after="0"/>
              <w:rPr>
                <w:sz w:val="20"/>
                <w:szCs w:val="20"/>
                <w:color w:val="auto"/>
              </w:rPr>
            </w:pPr>
            <w:r>
              <w:rPr>
                <w:rFonts w:ascii="Arial" w:cs="Arial" w:eastAsia="Arial" w:hAnsi="Arial"/>
                <w:sz w:val="18"/>
                <w:szCs w:val="18"/>
                <w:b w:val="1"/>
                <w:bCs w:val="1"/>
                <w:color w:val="auto"/>
              </w:rPr>
              <w:t>31,157,386</w:t>
            </w:r>
          </w:p>
        </w:tc>
        <w:tc>
          <w:tcPr>
            <w:tcW w:w="1080" w:type="dxa"/>
            <w:vAlign w:val="bottom"/>
          </w:tcPr>
          <w:p>
            <w:pPr>
              <w:jc w:val="right"/>
              <w:ind w:right="214"/>
              <w:spacing w:after="0"/>
              <w:rPr>
                <w:sz w:val="20"/>
                <w:szCs w:val="20"/>
                <w:color w:val="auto"/>
              </w:rPr>
            </w:pPr>
            <w:r>
              <w:rPr>
                <w:rFonts w:ascii="Arial" w:cs="Arial" w:eastAsia="Arial" w:hAnsi="Arial"/>
                <w:sz w:val="18"/>
                <w:szCs w:val="18"/>
                <w:b w:val="1"/>
                <w:bCs w:val="1"/>
                <w:color w:val="auto"/>
              </w:rPr>
              <w:t>100.0</w:t>
            </w:r>
          </w:p>
        </w:tc>
        <w:tc>
          <w:tcPr>
            <w:tcW w:w="1560" w:type="dxa"/>
            <w:vAlign w:val="bottom"/>
          </w:tcPr>
          <w:p>
            <w:pPr>
              <w:jc w:val="right"/>
              <w:ind w:right="375"/>
              <w:spacing w:after="0"/>
              <w:rPr>
                <w:sz w:val="20"/>
                <w:szCs w:val="20"/>
                <w:color w:val="auto"/>
              </w:rPr>
            </w:pPr>
            <w:r>
              <w:rPr>
                <w:rFonts w:ascii="Arial" w:cs="Arial" w:eastAsia="Arial" w:hAnsi="Arial"/>
                <w:sz w:val="18"/>
                <w:szCs w:val="18"/>
                <w:b w:val="1"/>
                <w:bCs w:val="1"/>
                <w:color w:val="auto"/>
              </w:rPr>
              <w:t>78.5</w:t>
            </w:r>
          </w:p>
        </w:tc>
      </w:tr>
      <w:tr>
        <w:trPr>
          <w:trHeight w:val="28"/>
        </w:trPr>
        <w:tc>
          <w:tcPr>
            <w:tcW w:w="4280" w:type="dxa"/>
            <w:vAlign w:val="bottom"/>
            <w:tcBorders>
              <w:bottom w:val="single" w:sz="8" w:color="0065C1"/>
            </w:tcBorders>
          </w:tcPr>
          <w:p>
            <w:pPr>
              <w:spacing w:after="0"/>
              <w:rPr>
                <w:sz w:val="2"/>
                <w:szCs w:val="2"/>
                <w:color w:val="auto"/>
              </w:rPr>
            </w:pPr>
          </w:p>
        </w:tc>
        <w:tc>
          <w:tcPr>
            <w:tcW w:w="1940" w:type="dxa"/>
            <w:vAlign w:val="bottom"/>
            <w:tcBorders>
              <w:bottom w:val="single" w:sz="8" w:color="0065C1"/>
            </w:tcBorders>
          </w:tcPr>
          <w:p>
            <w:pPr>
              <w:spacing w:after="0"/>
              <w:rPr>
                <w:sz w:val="2"/>
                <w:szCs w:val="2"/>
                <w:color w:val="auto"/>
              </w:rPr>
            </w:pPr>
          </w:p>
        </w:tc>
        <w:tc>
          <w:tcPr>
            <w:tcW w:w="1080" w:type="dxa"/>
            <w:vAlign w:val="bottom"/>
            <w:tcBorders>
              <w:bottom w:val="single" w:sz="8" w:color="0065C1"/>
            </w:tcBorders>
          </w:tcPr>
          <w:p>
            <w:pPr>
              <w:spacing w:after="0"/>
              <w:rPr>
                <w:sz w:val="2"/>
                <w:szCs w:val="2"/>
                <w:color w:val="auto"/>
              </w:rPr>
            </w:pPr>
          </w:p>
        </w:tc>
        <w:tc>
          <w:tcPr>
            <w:tcW w:w="1560" w:type="dxa"/>
            <w:vAlign w:val="bottom"/>
            <w:tcBorders>
              <w:bottom w:val="single" w:sz="8" w:color="0065C1"/>
            </w:tcBorders>
          </w:tcPr>
          <w:p>
            <w:pPr>
              <w:spacing w:after="0"/>
              <w:rPr>
                <w:sz w:val="2"/>
                <w:szCs w:val="2"/>
                <w:color w:val="auto"/>
              </w:rPr>
            </w:pPr>
          </w:p>
        </w:tc>
      </w:tr>
      <w:tr>
        <w:trPr>
          <w:trHeight w:val="61"/>
        </w:trPr>
        <w:tc>
          <w:tcPr>
            <w:tcW w:w="4280" w:type="dxa"/>
            <w:vAlign w:val="bottom"/>
          </w:tcPr>
          <w:p>
            <w:pPr>
              <w:spacing w:after="0"/>
              <w:rPr>
                <w:sz w:val="5"/>
                <w:szCs w:val="5"/>
                <w:color w:val="auto"/>
              </w:rPr>
            </w:pPr>
          </w:p>
        </w:tc>
        <w:tc>
          <w:tcPr>
            <w:tcW w:w="1940" w:type="dxa"/>
            <w:vAlign w:val="bottom"/>
          </w:tcPr>
          <w:p>
            <w:pPr>
              <w:spacing w:after="0"/>
              <w:rPr>
                <w:sz w:val="5"/>
                <w:szCs w:val="5"/>
                <w:color w:val="auto"/>
              </w:rPr>
            </w:pPr>
          </w:p>
        </w:tc>
        <w:tc>
          <w:tcPr>
            <w:tcW w:w="1080" w:type="dxa"/>
            <w:vAlign w:val="bottom"/>
          </w:tcPr>
          <w:p>
            <w:pPr>
              <w:spacing w:after="0"/>
              <w:rPr>
                <w:sz w:val="5"/>
                <w:szCs w:val="5"/>
                <w:color w:val="auto"/>
              </w:rPr>
            </w:pPr>
          </w:p>
        </w:tc>
        <w:tc>
          <w:tcPr>
            <w:tcW w:w="1560" w:type="dxa"/>
            <w:vAlign w:val="bottom"/>
          </w:tcPr>
          <w:p>
            <w:pPr>
              <w:spacing w:after="0"/>
              <w:rPr>
                <w:sz w:val="5"/>
                <w:szCs w:val="5"/>
                <w:color w:val="auto"/>
              </w:rPr>
            </w:pPr>
          </w:p>
        </w:tc>
      </w:tr>
      <w:tr>
        <w:trPr>
          <w:trHeight w:val="277"/>
        </w:trPr>
        <w:tc>
          <w:tcPr>
            <w:tcW w:w="4280" w:type="dxa"/>
            <w:vAlign w:val="bottom"/>
            <w:shd w:val="clear" w:color="auto" w:fill="0065C1"/>
          </w:tcPr>
          <w:p>
            <w:pPr>
              <w:spacing w:after="0"/>
              <w:rPr>
                <w:sz w:val="24"/>
                <w:szCs w:val="24"/>
                <w:color w:val="auto"/>
              </w:rPr>
            </w:pPr>
          </w:p>
        </w:tc>
        <w:tc>
          <w:tcPr>
            <w:tcW w:w="1940" w:type="dxa"/>
            <w:vAlign w:val="bottom"/>
            <w:shd w:val="clear" w:color="auto" w:fill="0065C1"/>
          </w:tcPr>
          <w:p>
            <w:pPr>
              <w:spacing w:after="0"/>
              <w:rPr>
                <w:sz w:val="24"/>
                <w:szCs w:val="24"/>
                <w:color w:val="auto"/>
              </w:rPr>
            </w:pPr>
          </w:p>
        </w:tc>
        <w:tc>
          <w:tcPr>
            <w:tcW w:w="1080" w:type="dxa"/>
            <w:vAlign w:val="bottom"/>
            <w:shd w:val="clear" w:color="auto" w:fill="0065C1"/>
          </w:tcPr>
          <w:p>
            <w:pPr>
              <w:spacing w:after="0"/>
              <w:rPr>
                <w:sz w:val="24"/>
                <w:szCs w:val="24"/>
                <w:color w:val="auto"/>
              </w:rPr>
            </w:pPr>
          </w:p>
        </w:tc>
        <w:tc>
          <w:tcPr>
            <w:tcW w:w="1560" w:type="dxa"/>
            <w:vAlign w:val="bottom"/>
            <w:shd w:val="clear" w:color="auto" w:fill="0065C1"/>
          </w:tcPr>
          <w:p>
            <w:pPr>
              <w:jc w:val="center"/>
              <w:ind w:left="95"/>
              <w:spacing w:after="0"/>
              <w:rPr>
                <w:sz w:val="20"/>
                <w:szCs w:val="20"/>
                <w:color w:val="auto"/>
              </w:rPr>
            </w:pPr>
            <w:r>
              <w:rPr>
                <w:rFonts w:ascii="Arial" w:cs="Arial" w:eastAsia="Arial" w:hAnsi="Arial"/>
                <w:sz w:val="16"/>
                <w:szCs w:val="16"/>
                <w:b w:val="1"/>
                <w:bCs w:val="1"/>
                <w:color w:val="FFFFFF"/>
              </w:rPr>
              <w:t>% of</w:t>
            </w:r>
          </w:p>
        </w:tc>
      </w:tr>
      <w:tr>
        <w:trPr>
          <w:trHeight w:val="189"/>
        </w:trPr>
        <w:tc>
          <w:tcPr>
            <w:tcW w:w="4280" w:type="dxa"/>
            <w:vAlign w:val="bottom"/>
            <w:shd w:val="clear" w:color="auto" w:fill="0065C1"/>
          </w:tcPr>
          <w:p>
            <w:pPr>
              <w:spacing w:after="0"/>
              <w:rPr>
                <w:sz w:val="16"/>
                <w:szCs w:val="16"/>
                <w:color w:val="auto"/>
              </w:rPr>
            </w:pPr>
          </w:p>
        </w:tc>
        <w:tc>
          <w:tcPr>
            <w:tcW w:w="1940" w:type="dxa"/>
            <w:vAlign w:val="bottom"/>
            <w:shd w:val="clear" w:color="auto" w:fill="0065C1"/>
          </w:tcPr>
          <w:p>
            <w:pPr>
              <w:jc w:val="center"/>
              <w:ind w:left="254"/>
              <w:spacing w:after="0"/>
              <w:rPr>
                <w:sz w:val="20"/>
                <w:szCs w:val="20"/>
                <w:color w:val="auto"/>
              </w:rPr>
            </w:pPr>
            <w:r>
              <w:rPr>
                <w:rFonts w:ascii="Arial" w:cs="Arial" w:eastAsia="Arial" w:hAnsi="Arial"/>
                <w:sz w:val="16"/>
                <w:szCs w:val="16"/>
                <w:b w:val="1"/>
                <w:bCs w:val="1"/>
                <w:color w:val="FFFFFF"/>
                <w:w w:val="99"/>
              </w:rPr>
              <w:t>Number of</w:t>
            </w:r>
          </w:p>
        </w:tc>
        <w:tc>
          <w:tcPr>
            <w:tcW w:w="1080" w:type="dxa"/>
            <w:vAlign w:val="bottom"/>
            <w:shd w:val="clear" w:color="auto" w:fill="0065C1"/>
          </w:tcPr>
          <w:p>
            <w:pPr>
              <w:jc w:val="right"/>
              <w:ind w:right="334"/>
              <w:spacing w:after="0"/>
              <w:rPr>
                <w:sz w:val="20"/>
                <w:szCs w:val="20"/>
                <w:color w:val="auto"/>
              </w:rPr>
            </w:pPr>
            <w:r>
              <w:rPr>
                <w:rFonts w:ascii="Arial" w:cs="Arial" w:eastAsia="Arial" w:hAnsi="Arial"/>
                <w:sz w:val="16"/>
                <w:szCs w:val="16"/>
                <w:b w:val="1"/>
                <w:bCs w:val="1"/>
                <w:color w:val="FFFFFF"/>
              </w:rPr>
              <w:t>% of</w:t>
            </w:r>
          </w:p>
        </w:tc>
        <w:tc>
          <w:tcPr>
            <w:tcW w:w="1560" w:type="dxa"/>
            <w:vAlign w:val="bottom"/>
            <w:shd w:val="clear" w:color="auto" w:fill="0065C1"/>
          </w:tcPr>
          <w:p>
            <w:pPr>
              <w:jc w:val="center"/>
              <w:ind w:left="75"/>
              <w:spacing w:after="0"/>
              <w:rPr>
                <w:sz w:val="20"/>
                <w:szCs w:val="20"/>
                <w:color w:val="auto"/>
              </w:rPr>
            </w:pPr>
            <w:r>
              <w:rPr>
                <w:rFonts w:ascii="Arial" w:cs="Arial" w:eastAsia="Arial" w:hAnsi="Arial"/>
                <w:sz w:val="16"/>
                <w:szCs w:val="16"/>
                <w:b w:val="1"/>
                <w:bCs w:val="1"/>
                <w:color w:val="FFFFFF"/>
                <w:w w:val="94"/>
              </w:rPr>
              <w:t>Total</w:t>
            </w:r>
          </w:p>
        </w:tc>
      </w:tr>
      <w:tr>
        <w:trPr>
          <w:trHeight w:val="257"/>
        </w:trPr>
        <w:tc>
          <w:tcPr>
            <w:tcW w:w="4280" w:type="dxa"/>
            <w:vAlign w:val="bottom"/>
            <w:tcBorders>
              <w:bottom w:val="single" w:sz="8" w:color="0065C1"/>
            </w:tcBorders>
            <w:shd w:val="clear" w:color="auto" w:fill="0065C1"/>
          </w:tcPr>
          <w:p>
            <w:pPr>
              <w:ind w:left="80"/>
              <w:spacing w:after="0"/>
              <w:rPr>
                <w:sz w:val="20"/>
                <w:szCs w:val="20"/>
                <w:color w:val="auto"/>
              </w:rPr>
            </w:pPr>
            <w:r>
              <w:rPr>
                <w:rFonts w:ascii="Arial" w:cs="Arial" w:eastAsia="Arial" w:hAnsi="Arial"/>
                <w:sz w:val="16"/>
                <w:szCs w:val="16"/>
                <w:b w:val="1"/>
                <w:bCs w:val="1"/>
                <w:color w:val="FFFFFF"/>
              </w:rPr>
              <w:t>Class F Common Stock</w:t>
            </w:r>
          </w:p>
        </w:tc>
        <w:tc>
          <w:tcPr>
            <w:tcW w:w="1940" w:type="dxa"/>
            <w:vAlign w:val="bottom"/>
            <w:tcBorders>
              <w:bottom w:val="single" w:sz="8" w:color="0065C1"/>
            </w:tcBorders>
            <w:shd w:val="clear" w:color="auto" w:fill="0065C1"/>
          </w:tcPr>
          <w:p>
            <w:pPr>
              <w:jc w:val="center"/>
              <w:ind w:left="314"/>
              <w:spacing w:after="0"/>
              <w:rPr>
                <w:sz w:val="20"/>
                <w:szCs w:val="20"/>
                <w:color w:val="auto"/>
              </w:rPr>
            </w:pPr>
            <w:r>
              <w:rPr>
                <w:rFonts w:ascii="Arial" w:cs="Arial" w:eastAsia="Arial" w:hAnsi="Arial"/>
                <w:sz w:val="16"/>
                <w:szCs w:val="16"/>
                <w:b w:val="1"/>
                <w:bCs w:val="1"/>
                <w:color w:val="FFFFFF"/>
              </w:rPr>
              <w:t>Shares</w:t>
            </w:r>
          </w:p>
        </w:tc>
        <w:tc>
          <w:tcPr>
            <w:tcW w:w="1080" w:type="dxa"/>
            <w:vAlign w:val="bottom"/>
            <w:tcBorders>
              <w:bottom w:val="single" w:sz="8" w:color="0065C1"/>
            </w:tcBorders>
            <w:shd w:val="clear" w:color="auto" w:fill="0065C1"/>
          </w:tcPr>
          <w:p>
            <w:pPr>
              <w:jc w:val="center"/>
              <w:spacing w:after="0"/>
              <w:rPr>
                <w:sz w:val="20"/>
                <w:szCs w:val="20"/>
                <w:color w:val="auto"/>
              </w:rPr>
            </w:pPr>
            <w:r>
              <w:rPr>
                <w:rFonts w:ascii="Arial" w:cs="Arial" w:eastAsia="Arial" w:hAnsi="Arial"/>
                <w:sz w:val="16"/>
                <w:szCs w:val="16"/>
                <w:b w:val="1"/>
                <w:bCs w:val="1"/>
                <w:color w:val="FFFFFF"/>
              </w:rPr>
              <w:t>Class</w:t>
            </w:r>
          </w:p>
        </w:tc>
        <w:tc>
          <w:tcPr>
            <w:tcW w:w="1560" w:type="dxa"/>
            <w:vAlign w:val="bottom"/>
            <w:tcBorders>
              <w:bottom w:val="single" w:sz="8" w:color="0065C1"/>
            </w:tcBorders>
            <w:shd w:val="clear" w:color="auto" w:fill="0065C1"/>
          </w:tcPr>
          <w:p>
            <w:pPr>
              <w:jc w:val="center"/>
              <w:ind w:left="115"/>
              <w:spacing w:after="0"/>
              <w:rPr>
                <w:sz w:val="20"/>
                <w:szCs w:val="20"/>
                <w:color w:val="auto"/>
              </w:rPr>
            </w:pPr>
            <w:r>
              <w:rPr>
                <w:rFonts w:ascii="Arial" w:cs="Arial" w:eastAsia="Arial" w:hAnsi="Arial"/>
                <w:sz w:val="16"/>
                <w:szCs w:val="16"/>
                <w:b w:val="1"/>
                <w:bCs w:val="1"/>
                <w:color w:val="FFFFFF"/>
              </w:rPr>
              <w:t>Common Stock</w:t>
            </w:r>
          </w:p>
        </w:tc>
      </w:tr>
      <w:tr>
        <w:trPr>
          <w:trHeight w:val="318"/>
        </w:trPr>
        <w:tc>
          <w:tcPr>
            <w:tcW w:w="4280" w:type="dxa"/>
            <w:vAlign w:val="bottom"/>
            <w:tcBorders>
              <w:bottom w:val="single" w:sz="8" w:color="D7E7F5"/>
            </w:tcBorders>
            <w:shd w:val="clear" w:color="auto" w:fill="D7E7F5"/>
          </w:tcPr>
          <w:p>
            <w:pPr>
              <w:ind w:left="80"/>
              <w:spacing w:after="0"/>
              <w:rPr>
                <w:sz w:val="20"/>
                <w:szCs w:val="20"/>
                <w:color w:val="auto"/>
              </w:rPr>
            </w:pPr>
            <w:r>
              <w:rPr>
                <w:rFonts w:ascii="Arial" w:cs="Arial" w:eastAsia="Arial" w:hAnsi="Arial"/>
                <w:sz w:val="18"/>
                <w:szCs w:val="18"/>
                <w:color w:val="auto"/>
              </w:rPr>
              <w:t>Sub-total shares of Class F Common Stock</w:t>
            </w:r>
          </w:p>
        </w:tc>
        <w:tc>
          <w:tcPr>
            <w:tcW w:w="1940" w:type="dxa"/>
            <w:vAlign w:val="bottom"/>
            <w:tcBorders>
              <w:bottom w:val="single" w:sz="8" w:color="D7E7F5"/>
            </w:tcBorders>
            <w:shd w:val="clear" w:color="auto" w:fill="D7E7F5"/>
          </w:tcPr>
          <w:p>
            <w:pPr>
              <w:jc w:val="right"/>
              <w:ind w:right="254"/>
              <w:spacing w:after="0"/>
              <w:rPr>
                <w:sz w:val="20"/>
                <w:szCs w:val="20"/>
                <w:color w:val="auto"/>
              </w:rPr>
            </w:pPr>
            <w:r>
              <w:rPr>
                <w:rFonts w:ascii="Arial" w:cs="Arial" w:eastAsia="Arial" w:hAnsi="Arial"/>
                <w:sz w:val="18"/>
                <w:szCs w:val="18"/>
                <w:color w:val="auto"/>
              </w:rPr>
              <w:t>0</w:t>
            </w:r>
          </w:p>
        </w:tc>
        <w:tc>
          <w:tcPr>
            <w:tcW w:w="108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rPr>
              <w:t>0.0</w:t>
            </w:r>
          </w:p>
        </w:tc>
        <w:tc>
          <w:tcPr>
            <w:tcW w:w="1560" w:type="dxa"/>
            <w:vAlign w:val="bottom"/>
            <w:tcBorders>
              <w:bottom w:val="single" w:sz="8" w:color="D7E7F5"/>
            </w:tcBorders>
            <w:shd w:val="clear" w:color="auto" w:fill="D7E7F5"/>
          </w:tcPr>
          <w:p>
            <w:pPr>
              <w:jc w:val="right"/>
              <w:ind w:right="375"/>
              <w:spacing w:after="0"/>
              <w:rPr>
                <w:sz w:val="20"/>
                <w:szCs w:val="20"/>
                <w:color w:val="auto"/>
              </w:rPr>
            </w:pPr>
            <w:r>
              <w:rPr>
                <w:rFonts w:ascii="Arial" w:cs="Arial" w:eastAsia="Arial" w:hAnsi="Arial"/>
                <w:sz w:val="18"/>
                <w:szCs w:val="18"/>
                <w:color w:val="auto"/>
              </w:rPr>
              <w:t>0.0</w:t>
            </w:r>
          </w:p>
        </w:tc>
      </w:tr>
      <w:tr>
        <w:trPr>
          <w:trHeight w:val="295"/>
        </w:trPr>
        <w:tc>
          <w:tcPr>
            <w:tcW w:w="4280" w:type="dxa"/>
            <w:vAlign w:val="bottom"/>
          </w:tcPr>
          <w:p>
            <w:pPr>
              <w:ind w:left="80"/>
              <w:spacing w:after="0"/>
              <w:rPr>
                <w:sz w:val="20"/>
                <w:szCs w:val="20"/>
                <w:color w:val="auto"/>
              </w:rPr>
            </w:pPr>
            <w:r>
              <w:rPr>
                <w:rFonts w:ascii="Arial" w:cs="Arial" w:eastAsia="Arial" w:hAnsi="Arial"/>
                <w:sz w:val="18"/>
                <w:szCs w:val="18"/>
                <w:b w:val="1"/>
                <w:bCs w:val="1"/>
                <w:color w:val="auto"/>
              </w:rPr>
              <w:t>Total Shares of Common Stock</w:t>
            </w:r>
          </w:p>
        </w:tc>
        <w:tc>
          <w:tcPr>
            <w:tcW w:w="1940" w:type="dxa"/>
            <w:vAlign w:val="bottom"/>
          </w:tcPr>
          <w:p>
            <w:pPr>
              <w:jc w:val="right"/>
              <w:ind w:right="234"/>
              <w:spacing w:after="0"/>
              <w:rPr>
                <w:sz w:val="20"/>
                <w:szCs w:val="20"/>
                <w:color w:val="auto"/>
              </w:rPr>
            </w:pPr>
            <w:r>
              <w:rPr>
                <w:rFonts w:ascii="Arial" w:cs="Arial" w:eastAsia="Arial" w:hAnsi="Arial"/>
                <w:sz w:val="18"/>
                <w:szCs w:val="18"/>
                <w:b w:val="1"/>
                <w:bCs w:val="1"/>
                <w:color w:val="auto"/>
              </w:rPr>
              <w:t>39,677,940</w:t>
            </w:r>
          </w:p>
        </w:tc>
        <w:tc>
          <w:tcPr>
            <w:tcW w:w="1080" w:type="dxa"/>
            <w:vAlign w:val="bottom"/>
          </w:tcPr>
          <w:p>
            <w:pPr>
              <w:spacing w:after="0"/>
              <w:rPr>
                <w:sz w:val="24"/>
                <w:szCs w:val="24"/>
                <w:color w:val="auto"/>
              </w:rPr>
            </w:pPr>
          </w:p>
        </w:tc>
        <w:tc>
          <w:tcPr>
            <w:tcW w:w="1560" w:type="dxa"/>
            <w:vAlign w:val="bottom"/>
          </w:tcPr>
          <w:p>
            <w:pPr>
              <w:jc w:val="center"/>
              <w:ind w:left="115"/>
              <w:spacing w:after="0"/>
              <w:rPr>
                <w:sz w:val="20"/>
                <w:szCs w:val="20"/>
                <w:color w:val="auto"/>
              </w:rPr>
            </w:pPr>
            <w:r>
              <w:rPr>
                <w:rFonts w:ascii="Arial" w:cs="Arial" w:eastAsia="Arial" w:hAnsi="Arial"/>
                <w:sz w:val="18"/>
                <w:szCs w:val="18"/>
                <w:b w:val="1"/>
                <w:bCs w:val="1"/>
                <w:color w:val="auto"/>
                <w:w w:val="97"/>
              </w:rPr>
              <w:t>100.0</w:t>
            </w:r>
          </w:p>
        </w:tc>
      </w:tr>
      <w:tr>
        <w:trPr>
          <w:trHeight w:val="29"/>
        </w:trPr>
        <w:tc>
          <w:tcPr>
            <w:tcW w:w="4280" w:type="dxa"/>
            <w:vAlign w:val="bottom"/>
            <w:tcBorders>
              <w:bottom w:val="single" w:sz="8" w:color="0065C1"/>
            </w:tcBorders>
          </w:tcPr>
          <w:p>
            <w:pPr>
              <w:spacing w:after="0"/>
              <w:rPr>
                <w:sz w:val="2"/>
                <w:szCs w:val="2"/>
                <w:color w:val="auto"/>
              </w:rPr>
            </w:pPr>
          </w:p>
        </w:tc>
        <w:tc>
          <w:tcPr>
            <w:tcW w:w="1940" w:type="dxa"/>
            <w:vAlign w:val="bottom"/>
            <w:tcBorders>
              <w:bottom w:val="single" w:sz="8" w:color="0065C1"/>
            </w:tcBorders>
          </w:tcPr>
          <w:p>
            <w:pPr>
              <w:spacing w:after="0"/>
              <w:rPr>
                <w:sz w:val="2"/>
                <w:szCs w:val="2"/>
                <w:color w:val="auto"/>
              </w:rPr>
            </w:pPr>
          </w:p>
        </w:tc>
        <w:tc>
          <w:tcPr>
            <w:tcW w:w="1080" w:type="dxa"/>
            <w:vAlign w:val="bottom"/>
            <w:tcBorders>
              <w:bottom w:val="single" w:sz="8" w:color="0065C1"/>
            </w:tcBorders>
          </w:tcPr>
          <w:p>
            <w:pPr>
              <w:spacing w:after="0"/>
              <w:rPr>
                <w:sz w:val="2"/>
                <w:szCs w:val="2"/>
                <w:color w:val="auto"/>
              </w:rPr>
            </w:pPr>
          </w:p>
        </w:tc>
        <w:tc>
          <w:tcPr>
            <w:tcW w:w="1560" w:type="dxa"/>
            <w:vAlign w:val="bottom"/>
            <w:tcBorders>
              <w:bottom w:val="single" w:sz="8" w:color="0065C1"/>
            </w:tcBorders>
          </w:tcPr>
          <w:p>
            <w:pPr>
              <w:spacing w:after="0"/>
              <w:rPr>
                <w:sz w:val="2"/>
                <w:szCs w:val="2"/>
                <w:color w:val="auto"/>
              </w:rPr>
            </w:pPr>
          </w:p>
        </w:tc>
      </w:tr>
    </w:tbl>
    <w:p>
      <w:pPr>
        <w:spacing w:after="0" w:line="90" w:lineRule="exact"/>
        <w:rPr>
          <w:sz w:val="20"/>
          <w:szCs w:val="20"/>
          <w:color w:val="auto"/>
        </w:rPr>
      </w:pPr>
    </w:p>
    <w:p>
      <w:pPr>
        <w:ind w:left="420" w:hanging="344"/>
        <w:spacing w:after="0"/>
        <w:tabs>
          <w:tab w:leader="none" w:pos="420" w:val="left"/>
        </w:tabs>
        <w:numPr>
          <w:ilvl w:val="0"/>
          <w:numId w:val="4"/>
        </w:numPr>
        <w:rPr>
          <w:rFonts w:ascii="Arial" w:cs="Arial" w:eastAsia="Arial" w:hAnsi="Arial"/>
          <w:sz w:val="16"/>
          <w:szCs w:val="16"/>
          <w:color w:val="auto"/>
        </w:rPr>
      </w:pPr>
      <w:r>
        <w:rPr>
          <w:rFonts w:ascii="Arial" w:cs="Arial" w:eastAsia="Arial" w:hAnsi="Arial"/>
          <w:sz w:val="16"/>
          <w:szCs w:val="16"/>
          <w:color w:val="auto"/>
        </w:rPr>
        <w:t>Source: Schedule 13G/A filing with the U.S. Securities and Exchange Commission dated January 7, 2021.</w:t>
      </w:r>
    </w:p>
    <w:p>
      <w:pPr>
        <w:spacing w:after="0" w:line="59" w:lineRule="exact"/>
        <w:rPr>
          <w:rFonts w:ascii="Arial" w:cs="Arial" w:eastAsia="Arial" w:hAnsi="Arial"/>
          <w:sz w:val="16"/>
          <w:szCs w:val="16"/>
          <w:color w:val="auto"/>
        </w:rPr>
      </w:pPr>
    </w:p>
    <w:p>
      <w:pPr>
        <w:ind w:left="420" w:hanging="344"/>
        <w:spacing w:after="0"/>
        <w:tabs>
          <w:tab w:leader="none" w:pos="420" w:val="left"/>
        </w:tabs>
        <w:numPr>
          <w:ilvl w:val="0"/>
          <w:numId w:val="4"/>
        </w:numPr>
        <w:rPr>
          <w:rFonts w:ascii="Arial" w:cs="Arial" w:eastAsia="Arial" w:hAnsi="Arial"/>
          <w:sz w:val="16"/>
          <w:szCs w:val="16"/>
          <w:color w:val="auto"/>
        </w:rPr>
      </w:pPr>
      <w:r>
        <w:rPr>
          <w:rFonts w:ascii="Arial" w:cs="Arial" w:eastAsia="Arial" w:hAnsi="Arial"/>
          <w:sz w:val="16"/>
          <w:szCs w:val="16"/>
          <w:color w:val="auto"/>
        </w:rPr>
        <w:t>Source: Schedule 13G filing with the U.S. Securities and Exchange Commission dated February 2,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151765</wp:posOffset>
            </wp:positionV>
            <wp:extent cx="5623560" cy="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237490</wp:posOffset>
            </wp:positionV>
            <wp:extent cx="411480" cy="1803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70" w:lineRule="exact"/>
        <w:rPr>
          <w:sz w:val="20"/>
          <w:szCs w:val="20"/>
          <w:color w:val="auto"/>
        </w:rPr>
      </w:pPr>
    </w:p>
    <w:p>
      <w:pPr>
        <w:ind w:left="6700"/>
        <w:spacing w:after="0"/>
        <w:tabs>
          <w:tab w:leader="none" w:pos="8820" w:val="left"/>
        </w:tabs>
        <w:rPr>
          <w:sz w:val="20"/>
          <w:szCs w:val="20"/>
          <w:color w:val="auto"/>
        </w:rPr>
      </w:pPr>
      <w:r>
        <w:rPr>
          <w:rFonts w:ascii="Arial" w:cs="Arial" w:eastAsia="Arial" w:hAnsi="Arial"/>
          <w:sz w:val="18"/>
          <w:szCs w:val="18"/>
          <w:b w:val="1"/>
          <w:bCs w:val="1"/>
          <w:color w:val="auto"/>
        </w:rPr>
        <w:t>Proxy Statement 2021</w:t>
      </w:r>
      <w:r>
        <w:rPr>
          <w:sz w:val="20"/>
          <w:szCs w:val="20"/>
          <w:color w:val="auto"/>
        </w:rPr>
        <w:tab/>
      </w:r>
      <w:r>
        <w:rPr>
          <w:rFonts w:ascii="Arial" w:cs="Arial" w:eastAsia="Arial" w:hAnsi="Arial"/>
          <w:sz w:val="17"/>
          <w:szCs w:val="17"/>
          <w:b w:val="1"/>
          <w:bCs w:val="1"/>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12" w:name="page13"/>
    <w:bookmarkEnd w:id="12"/>
    <w:p>
      <w:pPr>
        <w:jc w:val="center"/>
        <w:spacing w:after="0"/>
        <w:rPr>
          <w:sz w:val="20"/>
          <w:szCs w:val="20"/>
          <w:color w:val="auto"/>
        </w:rPr>
      </w:pPr>
      <w:r>
        <w:rPr>
          <w:rFonts w:ascii="Arial" w:cs="Arial" w:eastAsia="Arial" w:hAnsi="Arial"/>
          <w:sz w:val="29"/>
          <w:szCs w:val="29"/>
          <w:b w:val="1"/>
          <w:bCs w:val="1"/>
          <w:color w:val="0065C1"/>
        </w:rPr>
        <w:t>PROPOSAL 1</w:t>
      </w:r>
    </w:p>
    <w:p>
      <w:pPr>
        <w:spacing w:after="0" w:line="342" w:lineRule="exact"/>
        <w:rPr>
          <w:sz w:val="20"/>
          <w:szCs w:val="20"/>
          <w:color w:val="auto"/>
        </w:rPr>
      </w:pPr>
    </w:p>
    <w:p>
      <w:pPr>
        <w:jc w:val="center"/>
        <w:ind w:left="80" w:right="99"/>
        <w:spacing w:after="0" w:line="269" w:lineRule="auto"/>
        <w:rPr>
          <w:sz w:val="20"/>
          <w:szCs w:val="20"/>
          <w:color w:val="auto"/>
        </w:rPr>
      </w:pPr>
      <w:r>
        <w:rPr>
          <w:rFonts w:ascii="Arial" w:cs="Arial" w:eastAsia="Arial" w:hAnsi="Arial"/>
          <w:sz w:val="29"/>
          <w:szCs w:val="29"/>
          <w:b w:val="1"/>
          <w:bCs w:val="1"/>
          <w:color w:val="0065C1"/>
        </w:rPr>
        <w:t>TO APPROVE THE BANK’S AUDITED CONSOLIDATED FINANCIAL STATEMENTS FOR THE FISCAL YEAR ENDED DECEMBER 31,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-23495</wp:posOffset>
            </wp:positionV>
            <wp:extent cx="5623560" cy="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81"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The Bank’s audited consolidated financial statements for the fiscal year ended December 31, 2020 were prepared by the Bank in accordance with International Financial Reporting Standards (IFRS), as issued by the International Accounting Standard Board (IASB), and were audited by the Bank’s independent registered public accounting firm, KPMG, which expressed an unqualified opinion, in accordance with International Standards on Auditing. At the Annual Meeting, the shareholders will vote to approve the Bank’s annual audited consolidated financial statements; however, the audited consolidated financial statements are not subject to change as a result of such vote. As has been customary at prior annual meetings of the Bank’s shareholders, officers of the Bank will be available to answer any questions that may be posed by shareholders of the Bank attending the Annual Meeting regarding the Bank’s audited consolidated financial results.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31750</wp:posOffset>
            </wp:positionV>
            <wp:extent cx="5623560" cy="514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5623560" cy="514350"/>
                    </a:xfrm>
                    <a:prstGeom prst="rect">
                      <a:avLst/>
                    </a:prstGeom>
                    <a:noFill/>
                  </pic:spPr>
                </pic:pic>
              </a:graphicData>
            </a:graphic>
          </wp:anchor>
        </w:drawing>
      </w:r>
    </w:p>
    <w:p>
      <w:pPr>
        <w:spacing w:after="0" w:line="140" w:lineRule="exact"/>
        <w:rPr>
          <w:sz w:val="20"/>
          <w:szCs w:val="20"/>
          <w:color w:val="auto"/>
        </w:rPr>
      </w:pPr>
    </w:p>
    <w:p>
      <w:pPr>
        <w:ind w:left="240" w:right="199"/>
        <w:spacing w:after="0" w:line="261" w:lineRule="auto"/>
        <w:rPr>
          <w:sz w:val="20"/>
          <w:szCs w:val="20"/>
          <w:color w:val="auto"/>
        </w:rPr>
      </w:pPr>
      <w:r>
        <w:rPr>
          <w:rFonts w:ascii="Arial" w:cs="Arial" w:eastAsia="Arial" w:hAnsi="Arial"/>
          <w:sz w:val="18"/>
          <w:szCs w:val="18"/>
          <w:b w:val="1"/>
          <w:bCs w:val="1"/>
          <w:color w:val="auto"/>
        </w:rPr>
        <w:t xml:space="preserve">THE BOARD OF DIRECTORS UNANIMOUSLY RECOMMENDS THAT YOU VOTE </w:t>
      </w:r>
      <w:r>
        <w:rPr>
          <w:rFonts w:ascii="Arial" w:cs="Arial" w:eastAsia="Arial" w:hAnsi="Arial"/>
          <w:sz w:val="18"/>
          <w:szCs w:val="18"/>
          <w:b w:val="1"/>
          <w:bCs w:val="1"/>
          <w:color w:val="0065C1"/>
        </w:rPr>
        <w:t>FOR</w:t>
      </w:r>
      <w:r>
        <w:rPr>
          <w:rFonts w:ascii="Arial" w:cs="Arial" w:eastAsia="Arial" w:hAnsi="Arial"/>
          <w:sz w:val="18"/>
          <w:szCs w:val="18"/>
          <w:b w:val="1"/>
          <w:bCs w:val="1"/>
          <w:color w:val="auto"/>
        </w:rPr>
        <w:t xml:space="preserve"> THE APPROVAL OF THE BANK’S AUDITED CONSOLIDATED FINANCIAL STATEMENTS FOR THE FISCAL YEAR ENDED DECEMBER 31,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153035</wp:posOffset>
            </wp:positionV>
            <wp:extent cx="5623560" cy="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238760</wp:posOffset>
            </wp:positionV>
            <wp:extent cx="411480" cy="1797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71" w:lineRule="exact"/>
        <w:rPr>
          <w:sz w:val="20"/>
          <w:szCs w:val="20"/>
          <w:color w:val="auto"/>
        </w:rPr>
      </w:pPr>
    </w:p>
    <w:p>
      <w:pPr>
        <w:ind w:left="80"/>
        <w:spacing w:after="0"/>
        <w:tabs>
          <w:tab w:leader="none" w:pos="420" w:val="left"/>
        </w:tabs>
        <w:rPr>
          <w:sz w:val="20"/>
          <w:szCs w:val="20"/>
          <w:color w:val="auto"/>
        </w:rPr>
      </w:pPr>
      <w:r>
        <w:rPr>
          <w:rFonts w:ascii="Arial" w:cs="Arial" w:eastAsia="Arial" w:hAnsi="Arial"/>
          <w:sz w:val="18"/>
          <w:szCs w:val="18"/>
          <w:b w:val="1"/>
          <w:bCs w:val="1"/>
          <w:color w:val="auto"/>
        </w:rPr>
        <w:t>6</w:t>
        <w:tab/>
        <w:t>Proxy Statement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4" w:right="1440" w:bottom="1440" w:gutter="0" w:footer="0" w:header="0"/>
        </w:sectPr>
      </w:pPr>
    </w:p>
    <w:bookmarkStart w:id="13" w:name="page14"/>
    <w:bookmarkEnd w:id="13"/>
    <w:p>
      <w:pPr>
        <w:jc w:val="center"/>
        <w:spacing w:after="0"/>
        <w:rPr>
          <w:sz w:val="20"/>
          <w:szCs w:val="20"/>
          <w:color w:val="auto"/>
        </w:rPr>
      </w:pPr>
      <w:r>
        <w:rPr>
          <w:rFonts w:ascii="Arial" w:cs="Arial" w:eastAsia="Arial" w:hAnsi="Arial"/>
          <w:sz w:val="29"/>
          <w:szCs w:val="29"/>
          <w:b w:val="1"/>
          <w:bCs w:val="1"/>
          <w:color w:val="0065C1"/>
        </w:rPr>
        <w:t>PROPOSAL 2</w:t>
      </w:r>
    </w:p>
    <w:p>
      <w:pPr>
        <w:spacing w:after="0" w:line="342" w:lineRule="exact"/>
        <w:rPr>
          <w:sz w:val="20"/>
          <w:szCs w:val="20"/>
          <w:color w:val="auto"/>
        </w:rPr>
      </w:pPr>
    </w:p>
    <w:p>
      <w:pPr>
        <w:jc w:val="center"/>
        <w:ind w:left="80" w:right="99"/>
        <w:spacing w:after="0" w:line="260" w:lineRule="auto"/>
        <w:rPr>
          <w:sz w:val="20"/>
          <w:szCs w:val="20"/>
          <w:color w:val="auto"/>
        </w:rPr>
      </w:pPr>
      <w:r>
        <w:rPr>
          <w:rFonts w:ascii="Arial" w:cs="Arial" w:eastAsia="Arial" w:hAnsi="Arial"/>
          <w:sz w:val="29"/>
          <w:szCs w:val="29"/>
          <w:b w:val="1"/>
          <w:bCs w:val="1"/>
          <w:color w:val="0065C1"/>
        </w:rPr>
        <w:t>TO RATIFY THE APPOINTMENT OF KPMG AS THE BANK’S INDEPENDENT REGISTERED PUBLIC ACCOUNTING FIRM FOR THE FISCAL YEAR ENDING 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-14605</wp:posOffset>
            </wp:positionV>
            <wp:extent cx="5623560" cy="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95" w:lineRule="exact"/>
        <w:rPr>
          <w:sz w:val="20"/>
          <w:szCs w:val="20"/>
          <w:color w:val="auto"/>
        </w:rPr>
      </w:pPr>
    </w:p>
    <w:p>
      <w:pPr>
        <w:jc w:val="both"/>
        <w:ind w:left="80" w:right="99"/>
        <w:spacing w:after="0" w:line="248" w:lineRule="auto"/>
        <w:rPr>
          <w:sz w:val="20"/>
          <w:szCs w:val="20"/>
          <w:color w:val="auto"/>
        </w:rPr>
      </w:pPr>
      <w:r>
        <w:rPr>
          <w:rFonts w:ascii="Arial" w:cs="Arial" w:eastAsia="Arial" w:hAnsi="Arial"/>
          <w:sz w:val="18"/>
          <w:szCs w:val="18"/>
          <w:color w:val="auto"/>
        </w:rPr>
        <w:t>The shareholders will vote to ratify the appointment of KPMG as independent registered public accounting firm for the fiscal year ending December 31, 2021, as auditors of the Bank, to report on the Bank’s audited consolidated financial statements and to perform such other appropriate audit related services as may be required.</w:t>
      </w:r>
    </w:p>
    <w:p>
      <w:pPr>
        <w:spacing w:after="0" w:line="89"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In connection with the audit of the fiscal year ended December 31, 2020, and during the subsequent interim period through the date of this proxy statement, neither the Company, nor anyone on its behalf, consulted KPMG regarding either (i) application of accounting principles to a specified transaction, either completed or proposed, or the type of audit opinion that might be rendered with respect to the consolidated financial statements of the Company, in any case where a written report or oral advice was provided to the Company by KPMG, that KPMG concluded was an important factor considered by the Company in reaching a decision as to any accounting, auditing or financial reporting issue; or (ii) any matter that was the subject of a disagreement (as that term is defined in Item 304(a)(1)(iv) of Regulation S-K and the related instructions) or a “reportable event” (as that term is defined in Item 304(a)(1)(v) of Regulation S-K).</w:t>
      </w:r>
    </w:p>
    <w:p>
      <w:pPr>
        <w:spacing w:after="0" w:line="108" w:lineRule="exact"/>
        <w:rPr>
          <w:sz w:val="20"/>
          <w:szCs w:val="20"/>
          <w:color w:val="auto"/>
        </w:rPr>
      </w:pPr>
    </w:p>
    <w:p>
      <w:pPr>
        <w:jc w:val="both"/>
        <w:ind w:left="80" w:right="79"/>
        <w:spacing w:after="0" w:line="245" w:lineRule="auto"/>
        <w:rPr>
          <w:sz w:val="20"/>
          <w:szCs w:val="20"/>
          <w:color w:val="auto"/>
        </w:rPr>
      </w:pPr>
      <w:r>
        <w:rPr>
          <w:rFonts w:ascii="Arial" w:cs="Arial" w:eastAsia="Arial" w:hAnsi="Arial"/>
          <w:sz w:val="18"/>
          <w:szCs w:val="18"/>
          <w:color w:val="auto"/>
        </w:rPr>
        <w:t>The Bank has been advised by KPMG that neither that firm nor any of its affiliates has any relationship with the Bank or its subsidiaries, other than the relationship that typically exists between independent auditors and their clients. KPMG will have representatives present at the Annual Meeting who will have an opportunity to make a statement, if they so desire, and who will be available to respond to questions that may be posed by shareholders of the Bank attending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29210</wp:posOffset>
            </wp:positionV>
            <wp:extent cx="5623560" cy="771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5623560" cy="771525"/>
                    </a:xfrm>
                    <a:prstGeom prst="rect">
                      <a:avLst/>
                    </a:prstGeom>
                    <a:noFill/>
                  </pic:spPr>
                </pic:pic>
              </a:graphicData>
            </a:graphic>
          </wp:anchor>
        </w:drawing>
      </w:r>
    </w:p>
    <w:p>
      <w:pPr>
        <w:spacing w:after="0" w:line="137" w:lineRule="exact"/>
        <w:rPr>
          <w:sz w:val="20"/>
          <w:szCs w:val="20"/>
          <w:color w:val="auto"/>
        </w:rPr>
      </w:pPr>
    </w:p>
    <w:p>
      <w:pPr>
        <w:ind w:left="240" w:right="259"/>
        <w:spacing w:after="0" w:line="248" w:lineRule="auto"/>
        <w:rPr>
          <w:sz w:val="20"/>
          <w:szCs w:val="20"/>
          <w:color w:val="auto"/>
        </w:rPr>
      </w:pPr>
      <w:r>
        <w:rPr>
          <w:rFonts w:ascii="Arial" w:cs="Arial" w:eastAsia="Arial" w:hAnsi="Arial"/>
          <w:sz w:val="18"/>
          <w:szCs w:val="18"/>
          <w:b w:val="1"/>
          <w:bCs w:val="1"/>
          <w:color w:val="auto"/>
        </w:rPr>
        <w:t xml:space="preserve">THE BOARD OF DIRECTORS AND THE AUDIT COMMITTEE OF THE BOARD, WHICH IS RESPONSIBLE </w:t>
      </w:r>
      <w:r>
        <w:rPr>
          <w:rFonts w:ascii="Arial" w:cs="Arial" w:eastAsia="Arial" w:hAnsi="Arial"/>
          <w:sz w:val="18"/>
          <w:szCs w:val="18"/>
          <w:b w:val="1"/>
          <w:bCs w:val="1"/>
          <w:color w:val="0065C1"/>
        </w:rPr>
        <w:t>FOR</w:t>
      </w:r>
      <w:r>
        <w:rPr>
          <w:rFonts w:ascii="Arial" w:cs="Arial" w:eastAsia="Arial" w:hAnsi="Arial"/>
          <w:sz w:val="18"/>
          <w:szCs w:val="18"/>
          <w:b w:val="1"/>
          <w:bCs w:val="1"/>
          <w:color w:val="auto"/>
        </w:rPr>
        <w:t xml:space="preserve"> THE FINAL RECOMMENDATION OF THE BANK’S INDEPENDENT REGISTERED PUBLIC ACCOUNTING FIRM, UNANIMOUSLY RECOMMENDS THAT YOU VOTE FOR THE RATIFICATION OF THE APPOINTMENT OF KPMG AS THE BANK’S INDEPENDENT REGISTERED PUBLIC ACCOUNTING FIRM FOR THE FISCAL YEAR ENDING 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159385</wp:posOffset>
            </wp:positionV>
            <wp:extent cx="5623560" cy="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245110</wp:posOffset>
            </wp:positionV>
            <wp:extent cx="411480" cy="1797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82" w:lineRule="exact"/>
        <w:rPr>
          <w:sz w:val="20"/>
          <w:szCs w:val="20"/>
          <w:color w:val="auto"/>
        </w:rPr>
      </w:pPr>
    </w:p>
    <w:p>
      <w:pPr>
        <w:jc w:val="right"/>
        <w:ind w:right="79"/>
        <w:spacing w:after="0"/>
        <w:tabs>
          <w:tab w:leader="none" w:pos="80" w:val="left"/>
        </w:tabs>
        <w:rPr>
          <w:sz w:val="20"/>
          <w:szCs w:val="20"/>
          <w:color w:val="auto"/>
        </w:rPr>
      </w:pPr>
      <w:r>
        <w:rPr>
          <w:rFonts w:ascii="Arial" w:cs="Arial" w:eastAsia="Arial" w:hAnsi="Arial"/>
          <w:sz w:val="18"/>
          <w:szCs w:val="18"/>
          <w:b w:val="1"/>
          <w:bCs w:val="1"/>
          <w:color w:val="auto"/>
        </w:rPr>
        <w:t>Proxy Statement 2021</w:t>
      </w:r>
      <w:r>
        <w:rPr>
          <w:sz w:val="20"/>
          <w:szCs w:val="20"/>
          <w:color w:val="auto"/>
        </w:rPr>
        <w:tab/>
      </w:r>
      <w:r>
        <w:rPr>
          <w:rFonts w:ascii="Arial" w:cs="Arial" w:eastAsia="Arial" w:hAnsi="Arial"/>
          <w:sz w:val="17"/>
          <w:szCs w:val="17"/>
          <w:b w:val="1"/>
          <w:bCs w:val="1"/>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193040</wp:posOffset>
            </wp:positionV>
            <wp:extent cx="6995160" cy="171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4" w:right="1440" w:bottom="1440" w:gutter="0" w:footer="0" w:header="0"/>
        </w:sectPr>
      </w:pPr>
    </w:p>
    <w:bookmarkStart w:id="14" w:name="page15"/>
    <w:bookmarkEnd w:id="14"/>
    <w:p>
      <w:pPr>
        <w:jc w:val="center"/>
        <w:ind w:right="79"/>
        <w:spacing w:after="0"/>
        <w:rPr>
          <w:sz w:val="20"/>
          <w:szCs w:val="20"/>
          <w:color w:val="auto"/>
        </w:rPr>
      </w:pPr>
      <w:r>
        <w:rPr>
          <w:rFonts w:ascii="Arial" w:cs="Arial" w:eastAsia="Arial" w:hAnsi="Arial"/>
          <w:sz w:val="29"/>
          <w:szCs w:val="29"/>
          <w:b w:val="1"/>
          <w:bCs w:val="1"/>
          <w:color w:val="0065C1"/>
        </w:rPr>
        <w:t>PROPOSAL 3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47625</wp:posOffset>
            </wp:positionV>
            <wp:extent cx="5623560" cy="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94"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The Board consists of ten directors, in accordance with the Bank’s Articles of Incorporation. Three directors are elected by the Class A Shareholders, five directors are elected by the Class E Shareholders, and two directors are elected by the holders of all classes of the Bank’s common stock. In the event the number of issued and outstanding Class F shares is equal to or greater than 15% of the total issued and outstanding shares of all classes of the Bank’s common stock, the Class F shareholders shall have the right to elect one director, and the total number of directors shall be increased from 10 to 11. As of the Record Date, there are no issued or outstanding Class F shares. Except for Director, Mr. Ricardo Manuel Arango, all current members of the Board are independent under the terms defined by applicable laws and regulations, including rules promulgated by the United States Securities and Exchange Commission (the “SEC”) under the Sarbanes-Oxley Act of 2002 (the “Sarbanes-Oxley Act”), Section 303A of the New York Stock Exchange Listed Company Manual, and Rule No. 05-2011 as amended by Rule No. 05-2014 of the Superintendency of Banks of Panama. Information regarding the independence determination of directors is included on the Bank’s website at https://www.bladex.com/en/corporate-governance.</w:t>
      </w:r>
    </w:p>
    <w:p>
      <w:pPr>
        <w:spacing w:after="0" w:line="99" w:lineRule="exact"/>
        <w:rPr>
          <w:sz w:val="20"/>
          <w:szCs w:val="20"/>
          <w:color w:val="auto"/>
        </w:rPr>
      </w:pPr>
    </w:p>
    <w:p>
      <w:pPr>
        <w:jc w:val="both"/>
        <w:ind w:left="80" w:right="79"/>
        <w:spacing w:after="0" w:line="248" w:lineRule="auto"/>
        <w:rPr>
          <w:sz w:val="20"/>
          <w:szCs w:val="20"/>
          <w:color w:val="auto"/>
        </w:rPr>
      </w:pPr>
      <w:r>
        <w:rPr>
          <w:rFonts w:ascii="Arial" w:cs="Arial" w:eastAsia="Arial" w:hAnsi="Arial"/>
          <w:sz w:val="18"/>
          <w:szCs w:val="18"/>
          <w:color w:val="auto"/>
        </w:rPr>
        <w:t>Members of the Board are elected at annual meetings of shareholders of the Bank, and each director serves a term of three years. Directors can be re-elected multiple times. For the election of directors representing a class of shares of the Bank’s common stock, the votes of the holders of such class of shares are counted separately as a class.</w:t>
      </w:r>
    </w:p>
    <w:p>
      <w:pPr>
        <w:spacing w:after="0" w:line="103" w:lineRule="exact"/>
        <w:rPr>
          <w:sz w:val="20"/>
          <w:szCs w:val="20"/>
          <w:color w:val="auto"/>
        </w:rPr>
      </w:pPr>
    </w:p>
    <w:p>
      <w:pPr>
        <w:jc w:val="both"/>
        <w:ind w:left="80" w:right="99"/>
        <w:spacing w:after="0" w:line="243" w:lineRule="auto"/>
        <w:rPr>
          <w:sz w:val="20"/>
          <w:szCs w:val="20"/>
          <w:color w:val="auto"/>
        </w:rPr>
      </w:pPr>
      <w:r>
        <w:rPr>
          <w:rFonts w:ascii="Arial" w:cs="Arial" w:eastAsia="Arial" w:hAnsi="Arial"/>
          <w:sz w:val="18"/>
          <w:szCs w:val="18"/>
          <w:color w:val="auto"/>
        </w:rPr>
        <w:t>The holders of each class of common stock have cumulative voting rights with respect to the election of directors representing such class. This means that a shareholder of each class has the number of votes equal to the number of shares of such class held by the shareholder multiplied by the number of directors to be elected by such class, and the shareholder can cast all of his, her or its votes in favor of one candidate or distribute such votes among all of the directors to be elected, or among two or more of them, as the shareholder may decide. The candidates who receive the most favorable votes are elected as directors.</w:t>
      </w:r>
    </w:p>
    <w:p>
      <w:pPr>
        <w:spacing w:after="0" w:line="106" w:lineRule="exact"/>
        <w:rPr>
          <w:sz w:val="20"/>
          <w:szCs w:val="20"/>
          <w:color w:val="auto"/>
        </w:rPr>
      </w:pPr>
    </w:p>
    <w:p>
      <w:pPr>
        <w:jc w:val="both"/>
        <w:ind w:left="80" w:right="79"/>
        <w:spacing w:after="0" w:line="241" w:lineRule="auto"/>
        <w:rPr>
          <w:sz w:val="20"/>
          <w:szCs w:val="20"/>
          <w:color w:val="auto"/>
        </w:rPr>
      </w:pPr>
      <w:r>
        <w:rPr>
          <w:rFonts w:ascii="Arial" w:cs="Arial" w:eastAsia="Arial" w:hAnsi="Arial"/>
          <w:sz w:val="18"/>
          <w:szCs w:val="18"/>
          <w:color w:val="auto"/>
        </w:rPr>
        <w:t>At the Annual Meeting, common shareholders will be asked to elect three directors (one director to represent the holders of the Class E shares of the Bank’s common stock and two directors to represent the holders of all classes of shares of the Bank’s common stock) to the Board. The votes of the holders of the Class E shares will be counted separately as a class for the purpose of electing the director to represent the holders of the Class E shares. Each elected director will serve a term of three years. The Board has nominated Miguel Heras Castro as a director to represent the holders of the Class E shares, and Isela Costantini and Alexandra M. Aguirre as directors to represent the holders of all classes of the Bank’s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127635</wp:posOffset>
            </wp:positionV>
            <wp:extent cx="5623560" cy="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213360</wp:posOffset>
            </wp:positionV>
            <wp:extent cx="411480" cy="1803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32" w:lineRule="exact"/>
        <w:rPr>
          <w:sz w:val="20"/>
          <w:szCs w:val="20"/>
          <w:color w:val="auto"/>
        </w:rPr>
      </w:pPr>
    </w:p>
    <w:p>
      <w:pPr>
        <w:ind w:left="80"/>
        <w:spacing w:after="0"/>
        <w:tabs>
          <w:tab w:leader="none" w:pos="420" w:val="left"/>
        </w:tabs>
        <w:rPr>
          <w:sz w:val="20"/>
          <w:szCs w:val="20"/>
          <w:color w:val="auto"/>
        </w:rPr>
      </w:pPr>
      <w:r>
        <w:rPr>
          <w:rFonts w:ascii="Arial" w:cs="Arial" w:eastAsia="Arial" w:hAnsi="Arial"/>
          <w:sz w:val="18"/>
          <w:szCs w:val="18"/>
          <w:b w:val="1"/>
          <w:bCs w:val="1"/>
          <w:color w:val="auto"/>
        </w:rPr>
        <w:t>8</w:t>
        <w:tab/>
        <w:t>Proxy Statement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4" w:right="1440" w:bottom="1440" w:gutter="0" w:footer="0" w:header="0"/>
        </w:sectPr>
      </w:pPr>
    </w:p>
    <w:bookmarkStart w:id="15" w:name="page16"/>
    <w:bookmarkEnd w:id="15"/>
    <w:p>
      <w:pPr>
        <w:jc w:val="right"/>
        <w:ind w:right="79"/>
        <w:spacing w:after="0"/>
        <w:rPr>
          <w:sz w:val="20"/>
          <w:szCs w:val="20"/>
          <w:color w:val="auto"/>
        </w:rPr>
      </w:pPr>
      <w:r>
        <w:rPr>
          <w:rFonts w:ascii="Arial" w:cs="Arial" w:eastAsia="Arial" w:hAnsi="Arial"/>
          <w:sz w:val="22"/>
          <w:szCs w:val="22"/>
          <w:color w:val="0065C1"/>
        </w:rPr>
        <w:t>PROPOSAL 3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50165</wp:posOffset>
            </wp:positionV>
            <wp:extent cx="5623560" cy="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184"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One Class E Director Nominated for Election</w:t>
      </w:r>
    </w:p>
    <w:p>
      <w:pPr>
        <w:spacing w:after="0" w:line="150" w:lineRule="exact"/>
        <w:rPr>
          <w:sz w:val="20"/>
          <w:szCs w:val="20"/>
          <w:color w:val="auto"/>
        </w:rPr>
      </w:pPr>
    </w:p>
    <w:p>
      <w:pPr>
        <w:jc w:val="both"/>
        <w:ind w:left="80" w:right="99"/>
        <w:spacing w:after="0" w:line="287" w:lineRule="auto"/>
        <w:rPr>
          <w:sz w:val="20"/>
          <w:szCs w:val="20"/>
          <w:color w:val="auto"/>
        </w:rPr>
      </w:pPr>
      <w:r>
        <w:rPr>
          <w:rFonts w:ascii="Arial" w:cs="Arial" w:eastAsia="Arial" w:hAnsi="Arial"/>
          <w:sz w:val="18"/>
          <w:szCs w:val="18"/>
          <w:color w:val="auto"/>
        </w:rPr>
        <w:t xml:space="preserve">With the recommendation of the Bank’s Compensation Committee, the Board has nominated </w:t>
      </w:r>
      <w:r>
        <w:rPr>
          <w:rFonts w:ascii="Arial" w:cs="Arial" w:eastAsia="Arial" w:hAnsi="Arial"/>
          <w:sz w:val="18"/>
          <w:szCs w:val="18"/>
          <w:b w:val="1"/>
          <w:bCs w:val="1"/>
          <w:color w:val="auto"/>
        </w:rPr>
        <w:t>Miguel Heras</w:t>
      </w:r>
      <w:r>
        <w:rPr>
          <w:rFonts w:ascii="Arial" w:cs="Arial" w:eastAsia="Arial" w:hAnsi="Arial"/>
          <w:sz w:val="18"/>
          <w:szCs w:val="18"/>
          <w:color w:val="auto"/>
        </w:rPr>
        <w:t xml:space="preserve"> </w:t>
      </w:r>
      <w:r>
        <w:rPr>
          <w:rFonts w:ascii="Arial" w:cs="Arial" w:eastAsia="Arial" w:hAnsi="Arial"/>
          <w:sz w:val="18"/>
          <w:szCs w:val="18"/>
          <w:b w:val="1"/>
          <w:bCs w:val="1"/>
          <w:color w:val="auto"/>
        </w:rPr>
        <w:t xml:space="preserve">Castro </w:t>
      </w:r>
      <w:r>
        <w:rPr>
          <w:rFonts w:ascii="Arial" w:cs="Arial" w:eastAsia="Arial" w:hAnsi="Arial"/>
          <w:sz w:val="18"/>
          <w:szCs w:val="18"/>
          <w:color w:val="auto"/>
        </w:rPr>
        <w:t>for re-election as a director to represent the holders of the Class E shares of the Bank’s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44450</wp:posOffset>
            </wp:positionV>
            <wp:extent cx="5623560" cy="3600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5623560" cy="360045"/>
                    </a:xfrm>
                    <a:prstGeom prst="rect">
                      <a:avLst/>
                    </a:prstGeom>
                    <a:noFill/>
                  </pic:spPr>
                </pic:pic>
              </a:graphicData>
            </a:graphic>
          </wp:anchor>
        </w:drawing>
      </w:r>
    </w:p>
    <w:p>
      <w:pPr>
        <w:spacing w:after="0" w:line="179" w:lineRule="exact"/>
        <w:rPr>
          <w:sz w:val="20"/>
          <w:szCs w:val="20"/>
          <w:color w:val="auto"/>
        </w:rPr>
      </w:pPr>
    </w:p>
    <w:p>
      <w:pPr>
        <w:ind w:left="260"/>
        <w:spacing w:after="0"/>
        <w:rPr>
          <w:sz w:val="20"/>
          <w:szCs w:val="20"/>
          <w:color w:val="auto"/>
        </w:rPr>
      </w:pPr>
      <w:r>
        <w:rPr>
          <w:rFonts w:ascii="Arial" w:cs="Arial" w:eastAsia="Arial" w:hAnsi="Arial"/>
          <w:sz w:val="22"/>
          <w:szCs w:val="22"/>
          <w:b w:val="1"/>
          <w:bCs w:val="1"/>
          <w:i w:val="1"/>
          <w:iCs w:val="1"/>
          <w:color w:val="FFFFFF"/>
        </w:rPr>
        <w:t>Miguel Heras Castro</w:t>
      </w:r>
    </w:p>
    <w:p>
      <w:pPr>
        <w:sectPr>
          <w:pgSz w:w="11900" w:h="16838" w:orient="portrait"/>
          <w:cols w:equalWidth="0" w:num="1">
            <w:col w:w="9019"/>
          </w:cols>
          <w:pgMar w:left="1440" w:top="28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159385</wp:posOffset>
            </wp:positionH>
            <wp:positionV relativeFrom="paragraph">
              <wp:posOffset>-1475105</wp:posOffset>
            </wp:positionV>
            <wp:extent cx="1028700" cy="113157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1028700" cy="1131570"/>
                    </a:xfrm>
                    <a:prstGeom prst="rect">
                      <a:avLst/>
                    </a:prstGeom>
                    <a:noFill/>
                  </pic:spPr>
                </pic:pic>
              </a:graphicData>
            </a:graphic>
          </wp:anchor>
        </w:drawing>
      </w:r>
    </w:p>
    <w:p>
      <w:pPr>
        <w:spacing w:after="0" w:line="7"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2015</w:t>
      </w:r>
    </w:p>
    <w:p>
      <w:pPr>
        <w:spacing w:after="0" w:line="20" w:lineRule="exact"/>
        <w:rPr>
          <w:sz w:val="20"/>
          <w:szCs w:val="20"/>
          <w:color w:val="auto"/>
        </w:rPr>
      </w:pPr>
      <w:r>
        <w:rPr>
          <w:sz w:val="20"/>
          <w:szCs w:val="20"/>
          <w:color w:val="auto"/>
        </w:rPr>
        <w:br w:type="column"/>
      </w:r>
    </w:p>
    <w:p>
      <w:pPr>
        <w:spacing w:after="0" w:line="308" w:lineRule="exact"/>
        <w:rPr>
          <w:sz w:val="20"/>
          <w:szCs w:val="20"/>
          <w:color w:val="auto"/>
        </w:rPr>
      </w:pPr>
    </w:p>
    <w:p>
      <w:pPr>
        <w:jc w:val="both"/>
        <w:ind w:right="199"/>
        <w:spacing w:after="0" w:line="248" w:lineRule="auto"/>
        <w:rPr>
          <w:sz w:val="20"/>
          <w:szCs w:val="20"/>
          <w:color w:val="auto"/>
        </w:rPr>
      </w:pPr>
      <w:r>
        <w:rPr>
          <w:rFonts w:ascii="Arial" w:cs="Arial" w:eastAsia="Arial" w:hAnsi="Arial"/>
          <w:sz w:val="16"/>
          <w:szCs w:val="16"/>
          <w:color w:val="auto"/>
        </w:rPr>
        <w:t>Director of the Board since 2015 and was elected Chairman of the Board in 2019. Mr. Heras is the Founder and Managing Partner of MKH Capital Partners, a private equity firm based in Florida, U.S.A. Since 1999, he has served as Managing Director and as a member of the Board of Directors of Inversiones Bahia, Ltd. in Panama, the largest investment group in Central America, focusing on the financial, infrastructure, energy, real estate, and communications markets. Mr. Heras currently serves on the boards of Cable Onda, Gas Natural Atlántico, Televisora Nacional and Bahia Motors. He is also a member of The Wharton School of the University of Pennsylvania Executive Board for Latin America and is Vice President of the Board of the Panama Food Bank Foundation. He obtained extensive knowledge and experience in the banking industry while serving as a member of the Board of Directors and Asset-Liability Committee (ALCO) of Banco Continental de Panama for more than 5 years. Mr. Heras structured the acquisition of several companies and banking institutions, and in 2007 led the negotiation for the integration of the banking businesses of Banco Continental de Panamá and Banco General, which converted Banco General into one of the largest banks in Central America. In addition, Mr. Heras was also a member of the Board of Directors of Amnet Telecommunications Holdings, Cable and Wireless (Panama) Inc. and the Panamanian Stock Exchange. Mr. Heras was Minister of the Treasury of the Republic of Panama and President of the Council on Foreign Trade from 1996 to 1998. He served as Vice Minister of the Treasury from 1994 to 1996. Mr. Heras holds a Bachelor of Science in Economics from the Wharton School of Commerce and Finance of the University of Pennsylvania. Mr. Heras’ professional expertise in economics, finance and private equity and his experience as a board member of different companies qualifies him to serve on the Board.</w:t>
      </w:r>
    </w:p>
    <w:p>
      <w:pPr>
        <w:spacing w:after="0" w:line="200" w:lineRule="exact"/>
        <w:rPr>
          <w:sz w:val="20"/>
          <w:szCs w:val="20"/>
          <w:color w:val="auto"/>
        </w:rPr>
      </w:pPr>
    </w:p>
    <w:p>
      <w:pPr>
        <w:sectPr>
          <w:pgSz w:w="11900" w:h="16838" w:orient="portrait"/>
          <w:cols w:equalWidth="0" w:num="2">
            <w:col w:w="1800" w:space="320"/>
            <w:col w:w="6899"/>
          </w:cols>
          <w:pgMar w:left="1440" w:top="281" w:right="1440" w:bottom="1440" w:gutter="0" w:footer="0" w:header="0"/>
          <w:type w:val="continuous"/>
        </w:sectPr>
      </w:pPr>
    </w:p>
    <w:p>
      <w:pPr>
        <w:spacing w:after="0" w:line="216" w:lineRule="exact"/>
        <w:rPr>
          <w:sz w:val="20"/>
          <w:szCs w:val="20"/>
          <w:color w:val="auto"/>
        </w:rPr>
      </w:pPr>
    </w:p>
    <w:p>
      <w:pPr>
        <w:ind w:left="80" w:right="599"/>
        <w:spacing w:after="0" w:line="280" w:lineRule="auto"/>
        <w:rPr>
          <w:sz w:val="20"/>
          <w:szCs w:val="20"/>
          <w:color w:val="auto"/>
        </w:rPr>
      </w:pPr>
      <w:r>
        <w:rPr>
          <w:rFonts w:ascii="Arial" w:cs="Arial" w:eastAsia="Arial" w:hAnsi="Arial"/>
          <w:sz w:val="22"/>
          <w:szCs w:val="22"/>
          <w:b w:val="1"/>
          <w:bCs w:val="1"/>
          <w:color w:val="0065C1"/>
        </w:rPr>
        <w:t>Directors Nominated for Election to Represent Holders of All Classes of Common Stock</w:t>
      </w:r>
    </w:p>
    <w:p>
      <w:pPr>
        <w:spacing w:after="0" w:line="56" w:lineRule="exact"/>
        <w:rPr>
          <w:sz w:val="20"/>
          <w:szCs w:val="20"/>
          <w:color w:val="auto"/>
        </w:rPr>
      </w:pPr>
    </w:p>
    <w:p>
      <w:pPr>
        <w:ind w:left="80" w:right="99"/>
        <w:spacing w:after="0" w:line="287" w:lineRule="auto"/>
        <w:rPr>
          <w:sz w:val="20"/>
          <w:szCs w:val="20"/>
          <w:color w:val="auto"/>
        </w:rPr>
      </w:pPr>
      <w:r>
        <w:rPr>
          <w:rFonts w:ascii="Arial" w:cs="Arial" w:eastAsia="Arial" w:hAnsi="Arial"/>
          <w:sz w:val="18"/>
          <w:szCs w:val="18"/>
          <w:color w:val="auto"/>
        </w:rPr>
        <w:t xml:space="preserve">With the recommendation of the Bank’s Compensation Committee, the Board has nominated </w:t>
      </w:r>
      <w:r>
        <w:rPr>
          <w:rFonts w:ascii="Arial" w:cs="Arial" w:eastAsia="Arial" w:hAnsi="Arial"/>
          <w:sz w:val="18"/>
          <w:szCs w:val="18"/>
          <w:b w:val="1"/>
          <w:bCs w:val="1"/>
          <w:color w:val="auto"/>
        </w:rPr>
        <w:t>Isela Costantini</w:t>
      </w:r>
      <w:r>
        <w:rPr>
          <w:rFonts w:ascii="Arial" w:cs="Arial" w:eastAsia="Arial" w:hAnsi="Arial"/>
          <w:sz w:val="18"/>
          <w:szCs w:val="18"/>
          <w:color w:val="auto"/>
        </w:rPr>
        <w:t xml:space="preserve"> and </w:t>
      </w:r>
      <w:r>
        <w:rPr>
          <w:rFonts w:ascii="Arial" w:cs="Arial" w:eastAsia="Arial" w:hAnsi="Arial"/>
          <w:sz w:val="18"/>
          <w:szCs w:val="18"/>
          <w:b w:val="1"/>
          <w:bCs w:val="1"/>
          <w:color w:val="auto"/>
        </w:rPr>
        <w:t>Alexandra M. Aguirre</w:t>
      </w:r>
      <w:r>
        <w:rPr>
          <w:rFonts w:ascii="Arial" w:cs="Arial" w:eastAsia="Arial" w:hAnsi="Arial"/>
          <w:sz w:val="18"/>
          <w:szCs w:val="18"/>
          <w:color w:val="auto"/>
        </w:rPr>
        <w:t xml:space="preserve"> for re-election as directors to represent the holders of all classes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1270</wp:posOffset>
            </wp:positionV>
            <wp:extent cx="5623560" cy="3600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5623560" cy="3600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type w:val="continuous"/>
        </w:sectPr>
      </w:pPr>
    </w:p>
    <w:p>
      <w:pPr>
        <w:spacing w:after="0" w:line="132" w:lineRule="exact"/>
        <w:rPr>
          <w:sz w:val="20"/>
          <w:szCs w:val="20"/>
          <w:color w:val="auto"/>
        </w:rPr>
      </w:pPr>
    </w:p>
    <w:p>
      <w:pPr>
        <w:ind w:left="260"/>
        <w:spacing w:after="0"/>
        <w:rPr>
          <w:sz w:val="20"/>
          <w:szCs w:val="20"/>
          <w:color w:val="auto"/>
        </w:rPr>
      </w:pPr>
      <w:r>
        <w:rPr>
          <w:rFonts w:ascii="Arial" w:cs="Arial" w:eastAsia="Arial" w:hAnsi="Arial"/>
          <w:sz w:val="21"/>
          <w:szCs w:val="21"/>
          <w:b w:val="1"/>
          <w:bCs w:val="1"/>
          <w:i w:val="1"/>
          <w:iCs w:val="1"/>
          <w:color w:val="FFFFFF"/>
        </w:rPr>
        <w:t>Isela Costantini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159385</wp:posOffset>
            </wp:positionH>
            <wp:positionV relativeFrom="paragraph">
              <wp:posOffset>227330</wp:posOffset>
            </wp:positionV>
            <wp:extent cx="1028700" cy="113157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1028700" cy="11315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49</w:t>
      </w:r>
    </w:p>
    <w:p>
      <w:pPr>
        <w:spacing w:after="0" w:line="27"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259080</wp:posOffset>
            </wp:positionV>
            <wp:extent cx="411480" cy="1803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both"/>
        <w:ind w:right="199"/>
        <w:spacing w:after="0" w:line="250" w:lineRule="auto"/>
        <w:rPr>
          <w:sz w:val="20"/>
          <w:szCs w:val="20"/>
          <w:color w:val="auto"/>
        </w:rPr>
      </w:pPr>
      <w:r>
        <w:rPr>
          <w:rFonts w:ascii="Arial" w:cs="Arial" w:eastAsia="Arial" w:hAnsi="Arial"/>
          <w:sz w:val="16"/>
          <w:szCs w:val="16"/>
          <w:color w:val="auto"/>
        </w:rPr>
        <w:t>Director of the Board since 2019, is Chief Executive Officer of GST Financial Services in Argentina. She is a member of the boards of each of San Miguel S.A. and Novae since 2019, IRSA S.A. since 2017, and the Food Bank of Argentina since 2015. In addition, she is a counsel member of CIPPEC (Centro de Implementación de Políticas Públicas para la Equidad y el Crecimiento) since 2017. She has previously served as President and Chief Executive Officer of Aerolíneas Argentinas and held multiple positions at General Motors, where she began working in 1998 and became President of the company for Argentina, Paraguay and Uruguay. Ms. Costantini holds a Social Communications Degree, with a Major in Advertising from Pontificia Universidade Catolica do Parana (PUC-PR), Brazil and an MBA, with specialization in Marketing and International Business from Loyola University in Chicago. Her professional expertise in restructuring, marketing and communications, and experience as a board member and in leadership roles in different entities, qualify her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-1297305</wp:posOffset>
            </wp:positionH>
            <wp:positionV relativeFrom="paragraph">
              <wp:posOffset>334010</wp:posOffset>
            </wp:positionV>
            <wp:extent cx="5623560" cy="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453" w:lineRule="exact"/>
        <w:rPr>
          <w:sz w:val="20"/>
          <w:szCs w:val="20"/>
          <w:color w:val="auto"/>
        </w:rPr>
      </w:pPr>
    </w:p>
    <w:p>
      <w:pPr>
        <w:sectPr>
          <w:pgSz w:w="11900" w:h="16838" w:orient="portrait"/>
          <w:cols w:equalWidth="0" w:num="2">
            <w:col w:w="1840" w:space="280"/>
            <w:col w:w="6899"/>
          </w:cols>
          <w:pgMar w:left="1440" w:top="281" w:right="1440" w:bottom="1440" w:gutter="0" w:footer="0" w:header="0"/>
          <w:type w:val="continuous"/>
        </w:sectPr>
      </w:pPr>
    </w:p>
    <w:p>
      <w:pPr>
        <w:spacing w:after="0" w:line="224" w:lineRule="exact"/>
        <w:rPr>
          <w:sz w:val="20"/>
          <w:szCs w:val="20"/>
          <w:color w:val="auto"/>
        </w:rPr>
      </w:pPr>
    </w:p>
    <w:p>
      <w:pPr>
        <w:ind w:left="6700"/>
        <w:spacing w:after="0"/>
        <w:tabs>
          <w:tab w:leader="none" w:pos="8820" w:val="left"/>
        </w:tabs>
        <w:rPr>
          <w:sz w:val="20"/>
          <w:szCs w:val="20"/>
          <w:color w:val="auto"/>
        </w:rPr>
      </w:pPr>
      <w:r>
        <w:rPr>
          <w:rFonts w:ascii="Arial" w:cs="Arial" w:eastAsia="Arial" w:hAnsi="Arial"/>
          <w:sz w:val="18"/>
          <w:szCs w:val="18"/>
          <w:b w:val="1"/>
          <w:bCs w:val="1"/>
          <w:color w:val="auto"/>
        </w:rPr>
        <w:t>Proxy Statement 2021</w:t>
      </w:r>
      <w:r>
        <w:rPr>
          <w:sz w:val="20"/>
          <w:szCs w:val="20"/>
          <w:color w:val="auto"/>
        </w:rPr>
        <w:tab/>
      </w:r>
      <w:r>
        <w:rPr>
          <w:rFonts w:ascii="Arial" w:cs="Arial" w:eastAsia="Arial" w:hAnsi="Arial"/>
          <w:sz w:val="17"/>
          <w:szCs w:val="17"/>
          <w:b w:val="1"/>
          <w:bCs w:val="1"/>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193040</wp:posOffset>
            </wp:positionV>
            <wp:extent cx="6995160" cy="171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type w:val="continuous"/>
        </w:sectPr>
      </w:pPr>
    </w:p>
    <w:bookmarkStart w:id="16" w:name="page17"/>
    <w:bookmarkEnd w:id="16"/>
    <w:p>
      <w:pPr>
        <w:ind w:left="80"/>
        <w:spacing w:after="0"/>
        <w:rPr>
          <w:sz w:val="20"/>
          <w:szCs w:val="20"/>
          <w:color w:val="auto"/>
        </w:rPr>
      </w:pPr>
      <w:r>
        <w:rPr>
          <w:rFonts w:ascii="Arial" w:cs="Arial" w:eastAsia="Arial" w:hAnsi="Arial"/>
          <w:sz w:val="21"/>
          <w:szCs w:val="21"/>
          <w:color w:val="0065C1"/>
        </w:rPr>
        <w:t>PROPOSAL 3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57150</wp:posOffset>
            </wp:positionV>
            <wp:extent cx="5623560" cy="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116840</wp:posOffset>
            </wp:positionV>
            <wp:extent cx="5623560" cy="3600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5623560" cy="360045"/>
                    </a:xfrm>
                    <a:prstGeom prst="rect">
                      <a:avLst/>
                    </a:prstGeom>
                    <a:noFill/>
                  </pic:spPr>
                </pic:pic>
              </a:graphicData>
            </a:graphic>
          </wp:anchor>
        </w:drawing>
      </w:r>
    </w:p>
    <w:p>
      <w:pPr>
        <w:spacing w:after="0" w:line="294" w:lineRule="exact"/>
        <w:rPr>
          <w:sz w:val="20"/>
          <w:szCs w:val="20"/>
          <w:color w:val="auto"/>
        </w:rPr>
      </w:pPr>
    </w:p>
    <w:p>
      <w:pPr>
        <w:ind w:left="260"/>
        <w:spacing w:after="0"/>
        <w:rPr>
          <w:sz w:val="20"/>
          <w:szCs w:val="20"/>
          <w:color w:val="auto"/>
        </w:rPr>
      </w:pPr>
      <w:r>
        <w:rPr>
          <w:rFonts w:ascii="Arial" w:cs="Arial" w:eastAsia="Arial" w:hAnsi="Arial"/>
          <w:sz w:val="22"/>
          <w:szCs w:val="22"/>
          <w:b w:val="1"/>
          <w:bCs w:val="1"/>
          <w:i w:val="1"/>
          <w:iCs w:val="1"/>
          <w:color w:val="FFFFFF"/>
        </w:rPr>
        <w:t>Alexandra M. Aguirre</w:t>
      </w:r>
    </w:p>
    <w:p>
      <w:pPr>
        <w:sectPr>
          <w:pgSz w:w="11900" w:h="16838" w:orient="portrait"/>
          <w:cols w:equalWidth="0" w:num="1">
            <w:col w:w="9019"/>
          </w:cols>
          <w:pgMar w:left="1440" w:top="28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193675</wp:posOffset>
            </wp:positionH>
            <wp:positionV relativeFrom="paragraph">
              <wp:posOffset>-1475105</wp:posOffset>
            </wp:positionV>
            <wp:extent cx="951230" cy="113157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951230" cy="1131570"/>
                    </a:xfrm>
                    <a:prstGeom prst="rect">
                      <a:avLst/>
                    </a:prstGeom>
                    <a:noFill/>
                  </pic:spPr>
                </pic:pic>
              </a:graphicData>
            </a:graphic>
          </wp:anchor>
        </w:drawing>
      </w:r>
    </w:p>
    <w:p>
      <w:pPr>
        <w:spacing w:after="0" w:line="7"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2020</w:t>
      </w:r>
    </w:p>
    <w:p>
      <w:pPr>
        <w:spacing w:after="0" w:line="20" w:lineRule="exact"/>
        <w:rPr>
          <w:sz w:val="20"/>
          <w:szCs w:val="20"/>
          <w:color w:val="auto"/>
        </w:rPr>
      </w:pPr>
      <w:r>
        <w:rPr>
          <w:sz w:val="20"/>
          <w:szCs w:val="20"/>
          <w:color w:val="auto"/>
        </w:rPr>
        <w:br w:type="column"/>
      </w:r>
    </w:p>
    <w:p>
      <w:pPr>
        <w:spacing w:after="0" w:line="308" w:lineRule="exact"/>
        <w:rPr>
          <w:sz w:val="20"/>
          <w:szCs w:val="20"/>
          <w:color w:val="auto"/>
        </w:rPr>
      </w:pPr>
    </w:p>
    <w:p>
      <w:pPr>
        <w:jc w:val="both"/>
        <w:ind w:right="199"/>
        <w:spacing w:after="0" w:line="249" w:lineRule="auto"/>
        <w:rPr>
          <w:sz w:val="20"/>
          <w:szCs w:val="20"/>
          <w:color w:val="auto"/>
        </w:rPr>
      </w:pPr>
      <w:r>
        <w:rPr>
          <w:rFonts w:ascii="Arial" w:cs="Arial" w:eastAsia="Arial" w:hAnsi="Arial"/>
          <w:sz w:val="16"/>
          <w:szCs w:val="16"/>
          <w:color w:val="auto"/>
        </w:rPr>
        <w:t>Director of the Board since 2020, is a Partner at Morrison &amp; Foerster, LLP. Previously, Ms. Aguirre was a shareholder at Greenberg Traurig LLP. Ms. Aguirre has been acting as Secretary and General Counsel and Vice-Chair of the Governance and Nominations Committee of Pan American Development Foundation and Director of Fundación Uno since 2015, member of the Presidential Advisory Council (PAC) of INCAE Business School since 2019. She is also a board member of the Women Lawyer’s Interest of the International Bar Association since 2019. Ms. Aguirre holds a Bachelor’s Degree in Marketing and Entrepreneurial from Babson College and a Juris Doctor from Northeastern University School of Law. Ms. Aguirre has been listed for the awards of “40 under 40” (The M&amp;A Advisor 2015) and the Florida Super Lawyers, Rising Star (Super Lawyers Magazine 2009). She was also a finalist to receive the Top Dealmaker of the Year Award, Corporate Category (Daily Business Review 2012) and recipient of M&amp;A Deal of the Year Award (Latin Lawyers Magazine 2008). Ms. Aguirre is admitted to practice law in Florida, District of Columbia and New York. Her professional expertise in corporate finance law, corporate governance and cross-border financing transactions in Latin America and United States and her experience as board member in different entities, qualify her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-1297305</wp:posOffset>
            </wp:positionH>
            <wp:positionV relativeFrom="paragraph">
              <wp:posOffset>69215</wp:posOffset>
            </wp:positionV>
            <wp:extent cx="5623560" cy="77152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5623560" cy="77152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800" w:space="320"/>
            <w:col w:w="6899"/>
          </w:cols>
          <w:pgMar w:left="1440" w:top="281" w:right="1440" w:bottom="1440" w:gutter="0" w:footer="0" w:header="0"/>
          <w:type w:val="continuous"/>
        </w:sectPr>
      </w:pPr>
    </w:p>
    <w:p>
      <w:pPr>
        <w:spacing w:after="0" w:line="20" w:lineRule="exact"/>
        <w:rPr>
          <w:sz w:val="20"/>
          <w:szCs w:val="20"/>
          <w:color w:val="auto"/>
        </w:rPr>
      </w:pPr>
    </w:p>
    <w:p>
      <w:pPr>
        <w:ind w:left="240" w:right="239"/>
        <w:spacing w:after="0" w:line="248" w:lineRule="auto"/>
        <w:rPr>
          <w:sz w:val="20"/>
          <w:szCs w:val="20"/>
          <w:color w:val="auto"/>
        </w:rPr>
      </w:pPr>
      <w:r>
        <w:rPr>
          <w:rFonts w:ascii="Arial" w:cs="Arial" w:eastAsia="Arial" w:hAnsi="Arial"/>
          <w:sz w:val="18"/>
          <w:szCs w:val="18"/>
          <w:b w:val="1"/>
          <w:bCs w:val="1"/>
          <w:color w:val="auto"/>
        </w:rPr>
        <w:t xml:space="preserve">THE BOARD OF DIRECTORS UNANIMOUSLY RECOMMENDS THAT THE HOLDERS OF CLASS E SHARES VOTE </w:t>
      </w:r>
      <w:r>
        <w:rPr>
          <w:rFonts w:ascii="Arial" w:cs="Arial" w:eastAsia="Arial" w:hAnsi="Arial"/>
          <w:sz w:val="18"/>
          <w:szCs w:val="18"/>
          <w:b w:val="1"/>
          <w:bCs w:val="1"/>
          <w:color w:val="0065C1"/>
        </w:rPr>
        <w:t>FOR</w:t>
      </w:r>
      <w:r>
        <w:rPr>
          <w:rFonts w:ascii="Arial" w:cs="Arial" w:eastAsia="Arial" w:hAnsi="Arial"/>
          <w:sz w:val="18"/>
          <w:szCs w:val="18"/>
          <w:b w:val="1"/>
          <w:bCs w:val="1"/>
          <w:color w:val="auto"/>
        </w:rPr>
        <w:t xml:space="preserve"> THE RE-ELECTION OF MIGUEL HERAS CASTRO AS A CLASS E DIRECTOR OF THE BANK AND THAT ALL HOLDERS OF COMMON STOCK VOTE FOR THE RE-ELECTION OF ISELA COSTANTINI AND ALEXANDRA M. AGUIRRE AS DIRECTORS REPRESENTING THE HOLDERS OF ALL CLASSES OF SHARES OF THE BANK’S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159385</wp:posOffset>
            </wp:positionV>
            <wp:extent cx="5623560" cy="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245110</wp:posOffset>
            </wp:positionV>
            <wp:extent cx="411480" cy="17970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82"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10</w:t>
        <w:tab/>
        <w:t>Proxy Statement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type w:val="continuous"/>
        </w:sectPr>
      </w:pPr>
    </w:p>
    <w:bookmarkStart w:id="17" w:name="page18"/>
    <w:bookmarkEnd w:id="17"/>
    <w:p>
      <w:pPr>
        <w:jc w:val="center"/>
        <w:spacing w:after="0"/>
        <w:rPr>
          <w:sz w:val="20"/>
          <w:szCs w:val="20"/>
          <w:color w:val="auto"/>
        </w:rPr>
      </w:pPr>
      <w:r>
        <w:rPr>
          <w:rFonts w:ascii="Arial" w:cs="Arial" w:eastAsia="Arial" w:hAnsi="Arial"/>
          <w:sz w:val="29"/>
          <w:szCs w:val="29"/>
          <w:b w:val="1"/>
          <w:bCs w:val="1"/>
          <w:color w:val="0065C1"/>
        </w:rPr>
        <w:t>PROPOSAL 4</w:t>
      </w:r>
    </w:p>
    <w:p>
      <w:pPr>
        <w:spacing w:after="0" w:line="342" w:lineRule="exact"/>
        <w:rPr>
          <w:sz w:val="20"/>
          <w:szCs w:val="20"/>
          <w:color w:val="auto"/>
        </w:rPr>
      </w:pPr>
    </w:p>
    <w:p>
      <w:pPr>
        <w:jc w:val="center"/>
        <w:ind w:left="80" w:right="99"/>
        <w:spacing w:after="0" w:line="295" w:lineRule="auto"/>
        <w:rPr>
          <w:sz w:val="20"/>
          <w:szCs w:val="20"/>
          <w:color w:val="auto"/>
        </w:rPr>
      </w:pPr>
      <w:r>
        <w:rPr>
          <w:rFonts w:ascii="Arial" w:cs="Arial" w:eastAsia="Arial" w:hAnsi="Arial"/>
          <w:sz w:val="29"/>
          <w:szCs w:val="29"/>
          <w:b w:val="1"/>
          <w:bCs w:val="1"/>
          <w:color w:val="0065C1"/>
        </w:rPr>
        <w:t>TO APPROVE, ON AN ADVISORY BASIS, THE COMPENSATION OF THE BANK’S 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-46355</wp:posOffset>
            </wp:positionV>
            <wp:extent cx="5623560" cy="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45"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While we are not subject to the Dodd-Frank Wall Street Reform and Consumer Protection Act’s (the “Dodd-Frank Act”) rules governing say-on-pay and say-on-frequency, an advisory vote on the frequency of stockholders votes on named executive officers’ compensation was conducted in connection with the 2017 Annual Meeting of Shareholders in conformity therewith. The Board recommended, and the Bank’s shareholders agreed, that the advisory vote on executive compensation be held on an annual basis. Accordingly, the Bank is providing shareholders with an advisory vote on compensation programs for the Bank’s named executive officers (sometimes referred to as “say-on-pay”). This vote is not intended to address any specific item of compensation, but rather the overall compensation of the Bank’s named executive officers as described in this Proxy Statement.</w:t>
      </w:r>
    </w:p>
    <w:p>
      <w:pPr>
        <w:spacing w:after="0" w:line="95" w:lineRule="exact"/>
        <w:rPr>
          <w:sz w:val="20"/>
          <w:szCs w:val="20"/>
          <w:color w:val="auto"/>
        </w:rPr>
      </w:pPr>
    </w:p>
    <w:p>
      <w:pPr>
        <w:jc w:val="both"/>
        <w:ind w:left="80" w:right="99"/>
        <w:spacing w:after="0" w:line="248" w:lineRule="auto"/>
        <w:rPr>
          <w:sz w:val="20"/>
          <w:szCs w:val="20"/>
          <w:color w:val="auto"/>
        </w:rPr>
      </w:pPr>
      <w:r>
        <w:rPr>
          <w:rFonts w:ascii="Arial" w:cs="Arial" w:eastAsia="Arial" w:hAnsi="Arial"/>
          <w:sz w:val="18"/>
          <w:szCs w:val="18"/>
          <w:color w:val="auto"/>
        </w:rPr>
        <w:t>This vote is non-binding. The Compensation Committee, which pursuant to its Charter is comprised solely of independent directors (see below), and the Board expect to take into account the outcome of the vote when considering future named executive officers’ compensation decisions to the extent they can determine the cause or causes of any significant negative voting results.</w:t>
      </w:r>
    </w:p>
    <w:p>
      <w:pPr>
        <w:spacing w:after="0" w:line="103" w:lineRule="exact"/>
        <w:rPr>
          <w:sz w:val="20"/>
          <w:szCs w:val="20"/>
          <w:color w:val="auto"/>
        </w:rPr>
      </w:pPr>
    </w:p>
    <w:p>
      <w:pPr>
        <w:jc w:val="both"/>
        <w:ind w:left="80" w:right="99"/>
        <w:spacing w:after="0" w:line="239" w:lineRule="auto"/>
        <w:rPr>
          <w:sz w:val="20"/>
          <w:szCs w:val="20"/>
          <w:color w:val="auto"/>
        </w:rPr>
      </w:pPr>
      <w:r>
        <w:rPr>
          <w:rFonts w:ascii="Arial" w:cs="Arial" w:eastAsia="Arial" w:hAnsi="Arial"/>
          <w:sz w:val="18"/>
          <w:szCs w:val="18"/>
          <w:color w:val="auto"/>
        </w:rPr>
        <w:t>As described in detail under “Compensation of Executive Officers and Directors,” included elsewhere in this Proxy Statement, the Bank’s compensation programs are designed to attract, motivate and retain highly qualified executive officers who are able to achieve corporate objectives and create stockholder value. Equity compensation in the form of stock options and restricted stock units that are subject to further time-based vesting is a significant component of executive compensation. We believe that our compensation programs, with their balance of short-term incentives (including cash bonus awards) and long-term incentives (including equity awards that vest between three and four years) reward sustained performance that is aligned with long-term shareholder interests. Shareholders are encouraged to read “Compensation of Executive Officers and Directors” and the related narrative disclosure included elsewhere in this Proxy Statement for a more detailed description of the Bank’s compensation programs and plans.</w:t>
      </w:r>
    </w:p>
    <w:p>
      <w:pPr>
        <w:spacing w:after="0" w:line="112" w:lineRule="exact"/>
        <w:rPr>
          <w:sz w:val="20"/>
          <w:szCs w:val="20"/>
          <w:color w:val="auto"/>
        </w:rPr>
      </w:pPr>
    </w:p>
    <w:p>
      <w:pPr>
        <w:jc w:val="both"/>
        <w:ind w:left="80" w:right="99"/>
        <w:spacing w:after="0" w:line="248" w:lineRule="auto"/>
        <w:rPr>
          <w:sz w:val="20"/>
          <w:szCs w:val="20"/>
          <w:color w:val="auto"/>
        </w:rPr>
      </w:pPr>
      <w:r>
        <w:rPr>
          <w:rFonts w:ascii="Arial" w:cs="Arial" w:eastAsia="Arial" w:hAnsi="Arial"/>
          <w:sz w:val="18"/>
          <w:szCs w:val="18"/>
          <w:color w:val="auto"/>
        </w:rPr>
        <w:t>For the reasons outlined above, and further described and explained elsewhere in this Proxy Statement, we believe that our executive compensation program is well-designed, appropriately aligns executive pay with the Bank’s performance, and incentivizes desirable behavior. Accordingly, we are asking you to endorse our named executive officers’ compensation program by voting for the following resolution:</w:t>
      </w:r>
    </w:p>
    <w:p>
      <w:pPr>
        <w:spacing w:after="0" w:line="89" w:lineRule="exact"/>
        <w:rPr>
          <w:sz w:val="20"/>
          <w:szCs w:val="20"/>
          <w:color w:val="auto"/>
        </w:rPr>
      </w:pPr>
    </w:p>
    <w:p>
      <w:pPr>
        <w:jc w:val="both"/>
        <w:ind w:left="80" w:right="79"/>
        <w:spacing w:after="0" w:line="255" w:lineRule="auto"/>
        <w:rPr>
          <w:sz w:val="20"/>
          <w:szCs w:val="20"/>
          <w:color w:val="auto"/>
        </w:rPr>
      </w:pPr>
      <w:r>
        <w:rPr>
          <w:rFonts w:ascii="Arial" w:cs="Arial" w:eastAsia="Arial" w:hAnsi="Arial"/>
          <w:sz w:val="18"/>
          <w:szCs w:val="18"/>
          <w:color w:val="auto"/>
        </w:rPr>
        <w:t>“Resolved, that the shareholders approve, on an advisory basis, the compensation of the Bank’s named executive officers as disclosed in the “Compensation of Executive Officers and Directors” section in this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33020</wp:posOffset>
            </wp:positionV>
            <wp:extent cx="5623560" cy="38608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5623560" cy="386080"/>
                    </a:xfrm>
                    <a:prstGeom prst="rect">
                      <a:avLst/>
                    </a:prstGeom>
                    <a:noFill/>
                  </pic:spPr>
                </pic:pic>
              </a:graphicData>
            </a:graphic>
          </wp:anchor>
        </w:drawing>
      </w:r>
    </w:p>
    <w:p>
      <w:pPr>
        <w:spacing w:after="0" w:line="142" w:lineRule="exact"/>
        <w:rPr>
          <w:sz w:val="20"/>
          <w:szCs w:val="20"/>
          <w:color w:val="auto"/>
        </w:rPr>
      </w:pPr>
    </w:p>
    <w:p>
      <w:pPr>
        <w:ind w:left="240" w:right="1219"/>
        <w:spacing w:after="0" w:line="287" w:lineRule="auto"/>
        <w:rPr>
          <w:sz w:val="20"/>
          <w:szCs w:val="20"/>
          <w:color w:val="auto"/>
        </w:rPr>
      </w:pPr>
      <w:r>
        <w:rPr>
          <w:rFonts w:ascii="Arial" w:cs="Arial" w:eastAsia="Arial" w:hAnsi="Arial"/>
          <w:sz w:val="18"/>
          <w:szCs w:val="18"/>
          <w:b w:val="1"/>
          <w:bCs w:val="1"/>
          <w:color w:val="auto"/>
        </w:rPr>
        <w:t>THE BOARD OF DIRECTORS UNANIMOUSLY RECOMMENDS THAT YOU VOTE FOR THE FOREGOING RESOLUTION FOR THE REASONS OUTLINED ABOVE.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138430</wp:posOffset>
            </wp:positionV>
            <wp:extent cx="5623560" cy="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224155</wp:posOffset>
            </wp:positionV>
            <wp:extent cx="411480" cy="17970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49" w:lineRule="exact"/>
        <w:rPr>
          <w:sz w:val="20"/>
          <w:szCs w:val="20"/>
          <w:color w:val="auto"/>
        </w:rPr>
      </w:pPr>
    </w:p>
    <w:p>
      <w:pPr>
        <w:jc w:val="right"/>
        <w:ind w:right="79"/>
        <w:spacing w:after="0"/>
        <w:tabs>
          <w:tab w:leader="none" w:pos="180" w:val="left"/>
        </w:tabs>
        <w:rPr>
          <w:sz w:val="20"/>
          <w:szCs w:val="20"/>
          <w:color w:val="auto"/>
        </w:rPr>
      </w:pPr>
      <w:r>
        <w:rPr>
          <w:rFonts w:ascii="Arial" w:cs="Arial" w:eastAsia="Arial" w:hAnsi="Arial"/>
          <w:sz w:val="18"/>
          <w:szCs w:val="18"/>
          <w:b w:val="1"/>
          <w:bCs w:val="1"/>
          <w:color w:val="auto"/>
        </w:rPr>
        <w:t>Proxy Statement 2021</w:t>
      </w:r>
      <w:r>
        <w:rPr>
          <w:sz w:val="20"/>
          <w:szCs w:val="20"/>
          <w:color w:val="auto"/>
        </w:rPr>
        <w:tab/>
      </w:r>
      <w:r>
        <w:rPr>
          <w:rFonts w:ascii="Arial" w:cs="Arial" w:eastAsia="Arial" w:hAnsi="Arial"/>
          <w:sz w:val="17"/>
          <w:szCs w:val="17"/>
          <w:b w:val="1"/>
          <w:bCs w:val="1"/>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4" w:right="1440" w:bottom="1440" w:gutter="0" w:footer="0" w:header="0"/>
        </w:sectPr>
      </w:pPr>
    </w:p>
    <w:bookmarkStart w:id="18" w:name="page19"/>
    <w:bookmarkEnd w:id="18"/>
    <w:p>
      <w:pPr>
        <w:jc w:val="center"/>
        <w:ind w:left="80" w:right="179"/>
        <w:spacing w:after="0" w:line="269" w:lineRule="auto"/>
        <w:rPr>
          <w:sz w:val="20"/>
          <w:szCs w:val="20"/>
          <w:color w:val="auto"/>
        </w:rPr>
      </w:pPr>
      <w:r>
        <w:rPr>
          <w:rFonts w:ascii="Arial" w:cs="Arial" w:eastAsia="Arial" w:hAnsi="Arial"/>
          <w:sz w:val="29"/>
          <w:szCs w:val="29"/>
          <w:b w:val="1"/>
          <w:bCs w:val="1"/>
          <w:color w:val="0065C1"/>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-23495</wp:posOffset>
            </wp:positionV>
            <wp:extent cx="5623560" cy="8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49"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Information regarding Directors</w:t>
      </w:r>
    </w:p>
    <w:p>
      <w:pPr>
        <w:spacing w:after="0" w:line="152" w:lineRule="exact"/>
        <w:rPr>
          <w:sz w:val="20"/>
          <w:szCs w:val="20"/>
          <w:color w:val="auto"/>
        </w:rPr>
      </w:pPr>
    </w:p>
    <w:p>
      <w:pPr>
        <w:jc w:val="both"/>
        <w:ind w:left="80" w:right="79"/>
        <w:spacing w:after="0" w:line="248" w:lineRule="auto"/>
        <w:rPr>
          <w:sz w:val="20"/>
          <w:szCs w:val="20"/>
          <w:color w:val="auto"/>
        </w:rPr>
      </w:pPr>
      <w:r>
        <w:rPr>
          <w:rFonts w:ascii="Arial" w:cs="Arial" w:eastAsia="Arial" w:hAnsi="Arial"/>
          <w:sz w:val="18"/>
          <w:szCs w:val="18"/>
          <w:color w:val="auto"/>
        </w:rPr>
        <w:t>The following table and biographies set forth certain information concerning the directors whose terms do not expire in 2021 and who will continue to serve as directors following the Annual Meeting, including information with respect to each director’s current position with the Bank and other institutions, class of shares which such director represents, country of citizenship, the year that each director’s term expires, and age:</w:t>
      </w:r>
    </w:p>
    <w:p>
      <w:pPr>
        <w:spacing w:after="0" w:line="45" w:lineRule="exact"/>
        <w:rPr>
          <w:sz w:val="20"/>
          <w:szCs w:val="20"/>
          <w:color w:val="auto"/>
        </w:rPr>
      </w:pPr>
    </w:p>
    <w:tbl>
      <w:tblPr>
        <w:tblLayout w:type="fixed"/>
        <w:tblInd w:w="80" w:type="dxa"/>
        <w:tblCellMar>
          <w:top w:w="0" w:type="dxa"/>
          <w:left w:w="0" w:type="dxa"/>
          <w:bottom w:w="0" w:type="dxa"/>
          <w:right w:w="0" w:type="dxa"/>
        </w:tblCellMar>
      </w:tblPr>
      <w:tr>
        <w:trPr>
          <w:trHeight w:val="277"/>
        </w:trPr>
        <w:tc>
          <w:tcPr>
            <w:tcW w:w="4420" w:type="dxa"/>
            <w:vAlign w:val="bottom"/>
            <w:shd w:val="clear" w:color="auto" w:fill="0065C1"/>
          </w:tcPr>
          <w:p>
            <w:pPr>
              <w:spacing w:after="0"/>
              <w:rPr>
                <w:sz w:val="24"/>
                <w:szCs w:val="24"/>
                <w:color w:val="auto"/>
              </w:rPr>
            </w:pPr>
          </w:p>
        </w:tc>
        <w:tc>
          <w:tcPr>
            <w:tcW w:w="1520" w:type="dxa"/>
            <w:vAlign w:val="bottom"/>
            <w:shd w:val="clear" w:color="auto" w:fill="0065C1"/>
          </w:tcPr>
          <w:p>
            <w:pPr>
              <w:jc w:val="center"/>
              <w:ind w:left="12"/>
              <w:spacing w:after="0"/>
              <w:rPr>
                <w:sz w:val="20"/>
                <w:szCs w:val="20"/>
                <w:color w:val="auto"/>
              </w:rPr>
            </w:pPr>
            <w:r>
              <w:rPr>
                <w:rFonts w:ascii="Arial" w:cs="Arial" w:eastAsia="Arial" w:hAnsi="Arial"/>
                <w:sz w:val="16"/>
                <w:szCs w:val="16"/>
                <w:b w:val="1"/>
                <w:bCs w:val="1"/>
                <w:color w:val="FFFFFF"/>
              </w:rPr>
              <w:t>Country of</w:t>
            </w:r>
          </w:p>
        </w:tc>
        <w:tc>
          <w:tcPr>
            <w:tcW w:w="134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Position Held</w:t>
            </w:r>
          </w:p>
        </w:tc>
        <w:tc>
          <w:tcPr>
            <w:tcW w:w="106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Year Term</w:t>
            </w:r>
          </w:p>
        </w:tc>
        <w:tc>
          <w:tcPr>
            <w:tcW w:w="520" w:type="dxa"/>
            <w:vAlign w:val="bottom"/>
            <w:shd w:val="clear" w:color="auto" w:fill="0065C1"/>
          </w:tcPr>
          <w:p>
            <w:pPr>
              <w:spacing w:after="0"/>
              <w:rPr>
                <w:sz w:val="24"/>
                <w:szCs w:val="24"/>
                <w:color w:val="auto"/>
              </w:rPr>
            </w:pPr>
          </w:p>
        </w:tc>
      </w:tr>
      <w:tr>
        <w:trPr>
          <w:trHeight w:val="229"/>
        </w:trPr>
        <w:tc>
          <w:tcPr>
            <w:tcW w:w="4420" w:type="dxa"/>
            <w:vAlign w:val="bottom"/>
            <w:shd w:val="clear" w:color="auto" w:fill="0065C1"/>
          </w:tcPr>
          <w:p>
            <w:pPr>
              <w:ind w:left="100"/>
              <w:spacing w:after="0"/>
              <w:rPr>
                <w:sz w:val="20"/>
                <w:szCs w:val="20"/>
                <w:color w:val="auto"/>
              </w:rPr>
            </w:pPr>
            <w:r>
              <w:rPr>
                <w:rFonts w:ascii="Arial" w:cs="Arial" w:eastAsia="Arial" w:hAnsi="Arial"/>
                <w:sz w:val="16"/>
                <w:szCs w:val="16"/>
                <w:b w:val="1"/>
                <w:bCs w:val="1"/>
                <w:color w:val="FFFFFF"/>
              </w:rPr>
              <w:t>Name</w:t>
            </w:r>
          </w:p>
        </w:tc>
        <w:tc>
          <w:tcPr>
            <w:tcW w:w="1520" w:type="dxa"/>
            <w:vAlign w:val="bottom"/>
            <w:shd w:val="clear" w:color="auto" w:fill="0065C1"/>
          </w:tcPr>
          <w:p>
            <w:pPr>
              <w:jc w:val="center"/>
              <w:ind w:left="72"/>
              <w:spacing w:after="0"/>
              <w:rPr>
                <w:sz w:val="20"/>
                <w:szCs w:val="20"/>
                <w:color w:val="auto"/>
              </w:rPr>
            </w:pPr>
            <w:r>
              <w:rPr>
                <w:rFonts w:ascii="Arial" w:cs="Arial" w:eastAsia="Arial" w:hAnsi="Arial"/>
                <w:sz w:val="16"/>
                <w:szCs w:val="16"/>
                <w:b w:val="1"/>
                <w:bCs w:val="1"/>
                <w:color w:val="FFFFFF"/>
              </w:rPr>
              <w:t>Citizenship</w:t>
            </w:r>
          </w:p>
        </w:tc>
        <w:tc>
          <w:tcPr>
            <w:tcW w:w="134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with the Bank</w:t>
            </w:r>
          </w:p>
        </w:tc>
        <w:tc>
          <w:tcPr>
            <w:tcW w:w="106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Expires</w:t>
            </w:r>
          </w:p>
        </w:tc>
        <w:tc>
          <w:tcPr>
            <w:tcW w:w="5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Age</w:t>
            </w:r>
          </w:p>
        </w:tc>
      </w:tr>
      <w:tr>
        <w:trPr>
          <w:trHeight w:val="75"/>
        </w:trPr>
        <w:tc>
          <w:tcPr>
            <w:tcW w:w="4420" w:type="dxa"/>
            <w:vAlign w:val="bottom"/>
            <w:shd w:val="clear" w:color="auto" w:fill="0065C1"/>
          </w:tcPr>
          <w:p>
            <w:pPr>
              <w:spacing w:after="0"/>
              <w:rPr>
                <w:sz w:val="6"/>
                <w:szCs w:val="6"/>
                <w:color w:val="auto"/>
              </w:rPr>
            </w:pPr>
          </w:p>
        </w:tc>
        <w:tc>
          <w:tcPr>
            <w:tcW w:w="1520" w:type="dxa"/>
            <w:vAlign w:val="bottom"/>
            <w:shd w:val="clear" w:color="auto" w:fill="0065C1"/>
          </w:tcPr>
          <w:p>
            <w:pPr>
              <w:spacing w:after="0"/>
              <w:rPr>
                <w:sz w:val="6"/>
                <w:szCs w:val="6"/>
                <w:color w:val="auto"/>
              </w:rPr>
            </w:pPr>
          </w:p>
        </w:tc>
        <w:tc>
          <w:tcPr>
            <w:tcW w:w="1340" w:type="dxa"/>
            <w:vAlign w:val="bottom"/>
            <w:shd w:val="clear" w:color="auto" w:fill="0065C1"/>
          </w:tcPr>
          <w:p>
            <w:pPr>
              <w:spacing w:after="0"/>
              <w:rPr>
                <w:sz w:val="6"/>
                <w:szCs w:val="6"/>
                <w:color w:val="auto"/>
              </w:rPr>
            </w:pPr>
          </w:p>
        </w:tc>
        <w:tc>
          <w:tcPr>
            <w:tcW w:w="1060" w:type="dxa"/>
            <w:vAlign w:val="bottom"/>
            <w:shd w:val="clear" w:color="auto" w:fill="0065C1"/>
          </w:tcPr>
          <w:p>
            <w:pPr>
              <w:spacing w:after="0"/>
              <w:rPr>
                <w:sz w:val="6"/>
                <w:szCs w:val="6"/>
                <w:color w:val="auto"/>
              </w:rPr>
            </w:pPr>
          </w:p>
        </w:tc>
        <w:tc>
          <w:tcPr>
            <w:tcW w:w="520" w:type="dxa"/>
            <w:vAlign w:val="bottom"/>
            <w:shd w:val="clear" w:color="auto" w:fill="0065C1"/>
          </w:tcPr>
          <w:p>
            <w:pPr>
              <w:spacing w:after="0"/>
              <w:rPr>
                <w:sz w:val="6"/>
                <w:szCs w:val="6"/>
                <w:color w:val="auto"/>
              </w:rPr>
            </w:pPr>
          </w:p>
        </w:tc>
      </w:tr>
      <w:tr>
        <w:trPr>
          <w:trHeight w:val="309"/>
        </w:trPr>
        <w:tc>
          <w:tcPr>
            <w:tcW w:w="4420" w:type="dxa"/>
            <w:vAlign w:val="bottom"/>
          </w:tcPr>
          <w:p>
            <w:pPr>
              <w:ind w:left="100"/>
              <w:spacing w:after="0"/>
              <w:rPr>
                <w:sz w:val="20"/>
                <w:szCs w:val="20"/>
                <w:color w:val="auto"/>
              </w:rPr>
            </w:pPr>
            <w:r>
              <w:rPr>
                <w:rFonts w:ascii="Arial" w:cs="Arial" w:eastAsia="Arial" w:hAnsi="Arial"/>
                <w:sz w:val="18"/>
                <w:szCs w:val="18"/>
                <w:b w:val="1"/>
                <w:bCs w:val="1"/>
                <w:color w:val="auto"/>
              </w:rPr>
              <w:t>CLASS A</w:t>
            </w:r>
          </w:p>
        </w:tc>
        <w:tc>
          <w:tcPr>
            <w:tcW w:w="15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520" w:type="dxa"/>
            <w:vAlign w:val="bottom"/>
          </w:tcPr>
          <w:p>
            <w:pPr>
              <w:spacing w:after="0"/>
              <w:rPr>
                <w:sz w:val="24"/>
                <w:szCs w:val="24"/>
                <w:color w:val="auto"/>
              </w:rPr>
            </w:pPr>
          </w:p>
        </w:tc>
      </w:tr>
      <w:tr>
        <w:trPr>
          <w:trHeight w:val="56"/>
        </w:trPr>
        <w:tc>
          <w:tcPr>
            <w:tcW w:w="4420" w:type="dxa"/>
            <w:vAlign w:val="bottom"/>
          </w:tcPr>
          <w:p>
            <w:pPr>
              <w:spacing w:after="0"/>
              <w:rPr>
                <w:sz w:val="4"/>
                <w:szCs w:val="4"/>
                <w:color w:val="auto"/>
              </w:rPr>
            </w:pPr>
          </w:p>
        </w:tc>
        <w:tc>
          <w:tcPr>
            <w:tcW w:w="1520" w:type="dxa"/>
            <w:vAlign w:val="bottom"/>
          </w:tcPr>
          <w:p>
            <w:pPr>
              <w:spacing w:after="0"/>
              <w:rPr>
                <w:sz w:val="4"/>
                <w:szCs w:val="4"/>
                <w:color w:val="auto"/>
              </w:rPr>
            </w:pPr>
          </w:p>
        </w:tc>
        <w:tc>
          <w:tcPr>
            <w:tcW w:w="1340" w:type="dxa"/>
            <w:vAlign w:val="bottom"/>
          </w:tcPr>
          <w:p>
            <w:pPr>
              <w:spacing w:after="0"/>
              <w:rPr>
                <w:sz w:val="4"/>
                <w:szCs w:val="4"/>
                <w:color w:val="auto"/>
              </w:rPr>
            </w:pPr>
          </w:p>
        </w:tc>
        <w:tc>
          <w:tcPr>
            <w:tcW w:w="1060" w:type="dxa"/>
            <w:vAlign w:val="bottom"/>
          </w:tcPr>
          <w:p>
            <w:pPr>
              <w:spacing w:after="0"/>
              <w:rPr>
                <w:sz w:val="4"/>
                <w:szCs w:val="4"/>
                <w:color w:val="auto"/>
              </w:rPr>
            </w:pPr>
          </w:p>
        </w:tc>
        <w:tc>
          <w:tcPr>
            <w:tcW w:w="520" w:type="dxa"/>
            <w:vAlign w:val="bottom"/>
          </w:tcPr>
          <w:p>
            <w:pPr>
              <w:spacing w:after="0"/>
              <w:rPr>
                <w:sz w:val="4"/>
                <w:szCs w:val="4"/>
                <w:color w:val="auto"/>
              </w:rPr>
            </w:pPr>
          </w:p>
        </w:tc>
      </w:tr>
      <w:tr>
        <w:trPr>
          <w:trHeight w:val="301"/>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Eduardo Hecker</w:t>
            </w:r>
          </w:p>
        </w:tc>
        <w:tc>
          <w:tcPr>
            <w:tcW w:w="1520" w:type="dxa"/>
            <w:vAlign w:val="bottom"/>
            <w:shd w:val="clear" w:color="auto" w:fill="D7E7F5"/>
          </w:tcPr>
          <w:p>
            <w:pPr>
              <w:spacing w:after="0"/>
              <w:rPr>
                <w:sz w:val="24"/>
                <w:szCs w:val="24"/>
                <w:color w:val="auto"/>
              </w:rPr>
            </w:pPr>
          </w:p>
        </w:tc>
        <w:tc>
          <w:tcPr>
            <w:tcW w:w="1340" w:type="dxa"/>
            <w:vAlign w:val="bottom"/>
            <w:shd w:val="clear" w:color="auto" w:fill="D7E7F5"/>
          </w:tcPr>
          <w:p>
            <w:pPr>
              <w:spacing w:after="0"/>
              <w:rPr>
                <w:sz w:val="24"/>
                <w:szCs w:val="24"/>
                <w:color w:val="auto"/>
              </w:rPr>
            </w:pPr>
          </w:p>
        </w:tc>
        <w:tc>
          <w:tcPr>
            <w:tcW w:w="1060" w:type="dxa"/>
            <w:vAlign w:val="bottom"/>
            <w:shd w:val="clear" w:color="auto" w:fill="D7E7F5"/>
          </w:tcPr>
          <w:p>
            <w:pPr>
              <w:spacing w:after="0"/>
              <w:rPr>
                <w:sz w:val="24"/>
                <w:szCs w:val="24"/>
                <w:color w:val="auto"/>
              </w:rPr>
            </w:pPr>
          </w:p>
        </w:tc>
        <w:tc>
          <w:tcPr>
            <w:tcW w:w="520" w:type="dxa"/>
            <w:vAlign w:val="bottom"/>
            <w:shd w:val="clear" w:color="auto" w:fill="D7E7F5"/>
          </w:tcPr>
          <w:p>
            <w:pPr>
              <w:spacing w:after="0"/>
              <w:rPr>
                <w:sz w:val="24"/>
                <w:szCs w:val="24"/>
                <w:color w:val="auto"/>
              </w:rPr>
            </w:pPr>
          </w:p>
        </w:tc>
      </w:tr>
      <w:tr>
        <w:trPr>
          <w:trHeight w:val="365"/>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Chairman</w:t>
            </w:r>
          </w:p>
        </w:tc>
        <w:tc>
          <w:tcPr>
            <w:tcW w:w="1520" w:type="dxa"/>
            <w:vAlign w:val="bottom"/>
            <w:shd w:val="clear" w:color="auto" w:fill="D7E7F5"/>
          </w:tcPr>
          <w:p>
            <w:pPr>
              <w:spacing w:after="0"/>
              <w:rPr>
                <w:sz w:val="24"/>
                <w:szCs w:val="24"/>
                <w:color w:val="auto"/>
              </w:rPr>
            </w:pPr>
          </w:p>
        </w:tc>
        <w:tc>
          <w:tcPr>
            <w:tcW w:w="1340" w:type="dxa"/>
            <w:vAlign w:val="bottom"/>
            <w:shd w:val="clear" w:color="auto" w:fill="D7E7F5"/>
          </w:tcPr>
          <w:p>
            <w:pPr>
              <w:spacing w:after="0"/>
              <w:rPr>
                <w:sz w:val="24"/>
                <w:szCs w:val="24"/>
                <w:color w:val="auto"/>
              </w:rPr>
            </w:pPr>
          </w:p>
        </w:tc>
        <w:tc>
          <w:tcPr>
            <w:tcW w:w="1060" w:type="dxa"/>
            <w:vAlign w:val="bottom"/>
            <w:shd w:val="clear" w:color="auto" w:fill="D7E7F5"/>
          </w:tcPr>
          <w:p>
            <w:pPr>
              <w:spacing w:after="0"/>
              <w:rPr>
                <w:sz w:val="24"/>
                <w:szCs w:val="24"/>
                <w:color w:val="auto"/>
              </w:rPr>
            </w:pPr>
          </w:p>
        </w:tc>
        <w:tc>
          <w:tcPr>
            <w:tcW w:w="520" w:type="dxa"/>
            <w:vAlign w:val="bottom"/>
            <w:shd w:val="clear" w:color="auto" w:fill="D7E7F5"/>
          </w:tcPr>
          <w:p>
            <w:pPr>
              <w:spacing w:after="0"/>
              <w:rPr>
                <w:sz w:val="24"/>
                <w:szCs w:val="24"/>
                <w:color w:val="auto"/>
              </w:rPr>
            </w:pPr>
          </w:p>
        </w:tc>
      </w:tr>
      <w:tr>
        <w:trPr>
          <w:trHeight w:val="364"/>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Banco de la Nación Argentina</w:t>
            </w:r>
          </w:p>
        </w:tc>
        <w:tc>
          <w:tcPr>
            <w:tcW w:w="1520" w:type="dxa"/>
            <w:vAlign w:val="bottom"/>
            <w:shd w:val="clear" w:color="auto" w:fill="D7E7F5"/>
          </w:tcPr>
          <w:p>
            <w:pPr>
              <w:jc w:val="center"/>
              <w:ind w:left="72"/>
              <w:spacing w:after="0"/>
              <w:rPr>
                <w:sz w:val="20"/>
                <w:szCs w:val="20"/>
                <w:color w:val="auto"/>
              </w:rPr>
            </w:pPr>
            <w:r>
              <w:rPr>
                <w:rFonts w:ascii="Arial" w:cs="Arial" w:eastAsia="Arial" w:hAnsi="Arial"/>
                <w:sz w:val="18"/>
                <w:szCs w:val="18"/>
                <w:color w:val="auto"/>
                <w:w w:val="98"/>
              </w:rPr>
              <w:t>Argentina</w:t>
            </w:r>
          </w:p>
        </w:tc>
        <w:tc>
          <w:tcPr>
            <w:tcW w:w="1340" w:type="dxa"/>
            <w:vAlign w:val="bottom"/>
            <w:shd w:val="clear" w:color="auto" w:fill="D7E7F5"/>
          </w:tcPr>
          <w:p>
            <w:pPr>
              <w:jc w:val="center"/>
              <w:spacing w:after="0"/>
              <w:rPr>
                <w:sz w:val="20"/>
                <w:szCs w:val="20"/>
                <w:color w:val="auto"/>
              </w:rPr>
            </w:pPr>
            <w:r>
              <w:rPr>
                <w:rFonts w:ascii="Arial" w:cs="Arial" w:eastAsia="Arial" w:hAnsi="Arial"/>
                <w:sz w:val="18"/>
                <w:szCs w:val="18"/>
                <w:color w:val="auto"/>
              </w:rPr>
              <w:t>Director</w:t>
            </w:r>
          </w:p>
        </w:tc>
        <w:tc>
          <w:tcPr>
            <w:tcW w:w="106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2023</w:t>
            </w:r>
          </w:p>
        </w:tc>
        <w:tc>
          <w:tcPr>
            <w:tcW w:w="52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64</w:t>
            </w:r>
          </w:p>
        </w:tc>
      </w:tr>
      <w:tr>
        <w:trPr>
          <w:trHeight w:val="63"/>
        </w:trPr>
        <w:tc>
          <w:tcPr>
            <w:tcW w:w="4420" w:type="dxa"/>
            <w:vAlign w:val="bottom"/>
            <w:shd w:val="clear" w:color="auto" w:fill="D7E7F5"/>
          </w:tcPr>
          <w:p>
            <w:pPr>
              <w:spacing w:after="0"/>
              <w:rPr>
                <w:sz w:val="5"/>
                <w:szCs w:val="5"/>
                <w:color w:val="auto"/>
              </w:rPr>
            </w:pPr>
          </w:p>
        </w:tc>
        <w:tc>
          <w:tcPr>
            <w:tcW w:w="1520" w:type="dxa"/>
            <w:vAlign w:val="bottom"/>
            <w:shd w:val="clear" w:color="auto" w:fill="D7E7F5"/>
          </w:tcPr>
          <w:p>
            <w:pPr>
              <w:spacing w:after="0"/>
              <w:rPr>
                <w:sz w:val="5"/>
                <w:szCs w:val="5"/>
                <w:color w:val="auto"/>
              </w:rPr>
            </w:pPr>
          </w:p>
        </w:tc>
        <w:tc>
          <w:tcPr>
            <w:tcW w:w="1340" w:type="dxa"/>
            <w:vAlign w:val="bottom"/>
            <w:shd w:val="clear" w:color="auto" w:fill="D7E7F5"/>
          </w:tcPr>
          <w:p>
            <w:pPr>
              <w:spacing w:after="0"/>
              <w:rPr>
                <w:sz w:val="5"/>
                <w:szCs w:val="5"/>
                <w:color w:val="auto"/>
              </w:rPr>
            </w:pPr>
          </w:p>
        </w:tc>
        <w:tc>
          <w:tcPr>
            <w:tcW w:w="1060" w:type="dxa"/>
            <w:vAlign w:val="bottom"/>
            <w:shd w:val="clear" w:color="auto" w:fill="D7E7F5"/>
          </w:tcPr>
          <w:p>
            <w:pPr>
              <w:spacing w:after="0"/>
              <w:rPr>
                <w:sz w:val="5"/>
                <w:szCs w:val="5"/>
                <w:color w:val="auto"/>
              </w:rPr>
            </w:pPr>
          </w:p>
        </w:tc>
        <w:tc>
          <w:tcPr>
            <w:tcW w:w="520" w:type="dxa"/>
            <w:vAlign w:val="bottom"/>
            <w:shd w:val="clear" w:color="auto" w:fill="D7E7F5"/>
          </w:tcPr>
          <w:p>
            <w:pPr>
              <w:spacing w:after="0"/>
              <w:rPr>
                <w:sz w:val="5"/>
                <w:szCs w:val="5"/>
                <w:color w:val="auto"/>
              </w:rPr>
            </w:pPr>
          </w:p>
        </w:tc>
      </w:tr>
      <w:tr>
        <w:trPr>
          <w:trHeight w:val="364"/>
        </w:trPr>
        <w:tc>
          <w:tcPr>
            <w:tcW w:w="442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520" w:type="dxa"/>
            <w:vAlign w:val="bottom"/>
          </w:tcPr>
          <w:p>
            <w:pPr>
              <w:spacing w:after="0"/>
              <w:rPr>
                <w:sz w:val="24"/>
                <w:szCs w:val="24"/>
                <w:color w:val="auto"/>
              </w:rPr>
            </w:pPr>
          </w:p>
        </w:tc>
      </w:tr>
      <w:tr>
        <w:trPr>
          <w:trHeight w:val="301"/>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José Alberto Garzón</w:t>
            </w:r>
          </w:p>
        </w:tc>
        <w:tc>
          <w:tcPr>
            <w:tcW w:w="1520" w:type="dxa"/>
            <w:vAlign w:val="bottom"/>
            <w:shd w:val="clear" w:color="auto" w:fill="D7E7F5"/>
          </w:tcPr>
          <w:p>
            <w:pPr>
              <w:spacing w:after="0"/>
              <w:rPr>
                <w:sz w:val="24"/>
                <w:szCs w:val="24"/>
                <w:color w:val="auto"/>
              </w:rPr>
            </w:pPr>
          </w:p>
        </w:tc>
        <w:tc>
          <w:tcPr>
            <w:tcW w:w="1340" w:type="dxa"/>
            <w:vAlign w:val="bottom"/>
            <w:shd w:val="clear" w:color="auto" w:fill="D7E7F5"/>
          </w:tcPr>
          <w:p>
            <w:pPr>
              <w:spacing w:after="0"/>
              <w:rPr>
                <w:sz w:val="24"/>
                <w:szCs w:val="24"/>
                <w:color w:val="auto"/>
              </w:rPr>
            </w:pPr>
          </w:p>
        </w:tc>
        <w:tc>
          <w:tcPr>
            <w:tcW w:w="1060" w:type="dxa"/>
            <w:vAlign w:val="bottom"/>
            <w:shd w:val="clear" w:color="auto" w:fill="D7E7F5"/>
          </w:tcPr>
          <w:p>
            <w:pPr>
              <w:spacing w:after="0"/>
              <w:rPr>
                <w:sz w:val="24"/>
                <w:szCs w:val="24"/>
                <w:color w:val="auto"/>
              </w:rPr>
            </w:pPr>
          </w:p>
        </w:tc>
        <w:tc>
          <w:tcPr>
            <w:tcW w:w="520" w:type="dxa"/>
            <w:vAlign w:val="bottom"/>
            <w:shd w:val="clear" w:color="auto" w:fill="D7E7F5"/>
          </w:tcPr>
          <w:p>
            <w:pPr>
              <w:spacing w:after="0"/>
              <w:rPr>
                <w:sz w:val="24"/>
                <w:szCs w:val="24"/>
                <w:color w:val="auto"/>
              </w:rPr>
            </w:pPr>
          </w:p>
        </w:tc>
      </w:tr>
      <w:tr>
        <w:trPr>
          <w:trHeight w:val="364"/>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Legal Vice President and General Counsel</w:t>
            </w:r>
          </w:p>
        </w:tc>
        <w:tc>
          <w:tcPr>
            <w:tcW w:w="1520" w:type="dxa"/>
            <w:vAlign w:val="bottom"/>
            <w:shd w:val="clear" w:color="auto" w:fill="D7E7F5"/>
          </w:tcPr>
          <w:p>
            <w:pPr>
              <w:spacing w:after="0"/>
              <w:rPr>
                <w:sz w:val="24"/>
                <w:szCs w:val="24"/>
                <w:color w:val="auto"/>
              </w:rPr>
            </w:pPr>
          </w:p>
        </w:tc>
        <w:tc>
          <w:tcPr>
            <w:tcW w:w="1340" w:type="dxa"/>
            <w:vAlign w:val="bottom"/>
            <w:shd w:val="clear" w:color="auto" w:fill="D7E7F5"/>
          </w:tcPr>
          <w:p>
            <w:pPr>
              <w:spacing w:after="0"/>
              <w:rPr>
                <w:sz w:val="24"/>
                <w:szCs w:val="24"/>
                <w:color w:val="auto"/>
              </w:rPr>
            </w:pPr>
          </w:p>
        </w:tc>
        <w:tc>
          <w:tcPr>
            <w:tcW w:w="1060" w:type="dxa"/>
            <w:vAlign w:val="bottom"/>
            <w:shd w:val="clear" w:color="auto" w:fill="D7E7F5"/>
          </w:tcPr>
          <w:p>
            <w:pPr>
              <w:spacing w:after="0"/>
              <w:rPr>
                <w:sz w:val="24"/>
                <w:szCs w:val="24"/>
                <w:color w:val="auto"/>
              </w:rPr>
            </w:pPr>
          </w:p>
        </w:tc>
        <w:tc>
          <w:tcPr>
            <w:tcW w:w="520" w:type="dxa"/>
            <w:vAlign w:val="bottom"/>
            <w:shd w:val="clear" w:color="auto" w:fill="D7E7F5"/>
          </w:tcPr>
          <w:p>
            <w:pPr>
              <w:spacing w:after="0"/>
              <w:rPr>
                <w:sz w:val="24"/>
                <w:szCs w:val="24"/>
                <w:color w:val="auto"/>
              </w:rPr>
            </w:pPr>
          </w:p>
        </w:tc>
      </w:tr>
      <w:tr>
        <w:trPr>
          <w:trHeight w:val="365"/>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Banco de Comercio Exterior de Colombia</w:t>
            </w:r>
          </w:p>
        </w:tc>
        <w:tc>
          <w:tcPr>
            <w:tcW w:w="1520" w:type="dxa"/>
            <w:vAlign w:val="bottom"/>
            <w:shd w:val="clear" w:color="auto" w:fill="D7E7F5"/>
          </w:tcPr>
          <w:p>
            <w:pPr>
              <w:jc w:val="center"/>
              <w:ind w:left="72"/>
              <w:spacing w:after="0"/>
              <w:rPr>
                <w:sz w:val="20"/>
                <w:szCs w:val="20"/>
                <w:color w:val="auto"/>
              </w:rPr>
            </w:pPr>
            <w:r>
              <w:rPr>
                <w:rFonts w:ascii="Arial" w:cs="Arial" w:eastAsia="Arial" w:hAnsi="Arial"/>
                <w:sz w:val="18"/>
                <w:szCs w:val="18"/>
                <w:color w:val="auto"/>
                <w:w w:val="99"/>
              </w:rPr>
              <w:t>Colombia</w:t>
            </w:r>
          </w:p>
        </w:tc>
        <w:tc>
          <w:tcPr>
            <w:tcW w:w="1340" w:type="dxa"/>
            <w:vAlign w:val="bottom"/>
            <w:shd w:val="clear" w:color="auto" w:fill="D7E7F5"/>
          </w:tcPr>
          <w:p>
            <w:pPr>
              <w:jc w:val="center"/>
              <w:spacing w:after="0"/>
              <w:rPr>
                <w:sz w:val="20"/>
                <w:szCs w:val="20"/>
                <w:color w:val="auto"/>
              </w:rPr>
            </w:pPr>
            <w:r>
              <w:rPr>
                <w:rFonts w:ascii="Arial" w:cs="Arial" w:eastAsia="Arial" w:hAnsi="Arial"/>
                <w:sz w:val="18"/>
                <w:szCs w:val="18"/>
                <w:color w:val="auto"/>
              </w:rPr>
              <w:t>Director</w:t>
            </w:r>
          </w:p>
        </w:tc>
        <w:tc>
          <w:tcPr>
            <w:tcW w:w="106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2023</w:t>
            </w:r>
          </w:p>
        </w:tc>
        <w:tc>
          <w:tcPr>
            <w:tcW w:w="52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50</w:t>
            </w:r>
          </w:p>
        </w:tc>
      </w:tr>
      <w:tr>
        <w:trPr>
          <w:trHeight w:val="63"/>
        </w:trPr>
        <w:tc>
          <w:tcPr>
            <w:tcW w:w="4420" w:type="dxa"/>
            <w:vAlign w:val="bottom"/>
            <w:shd w:val="clear" w:color="auto" w:fill="D7E7F5"/>
          </w:tcPr>
          <w:p>
            <w:pPr>
              <w:spacing w:after="0"/>
              <w:rPr>
                <w:sz w:val="5"/>
                <w:szCs w:val="5"/>
                <w:color w:val="auto"/>
              </w:rPr>
            </w:pPr>
          </w:p>
        </w:tc>
        <w:tc>
          <w:tcPr>
            <w:tcW w:w="1520" w:type="dxa"/>
            <w:vAlign w:val="bottom"/>
            <w:shd w:val="clear" w:color="auto" w:fill="D7E7F5"/>
          </w:tcPr>
          <w:p>
            <w:pPr>
              <w:spacing w:after="0"/>
              <w:rPr>
                <w:sz w:val="5"/>
                <w:szCs w:val="5"/>
                <w:color w:val="auto"/>
              </w:rPr>
            </w:pPr>
          </w:p>
        </w:tc>
        <w:tc>
          <w:tcPr>
            <w:tcW w:w="1340" w:type="dxa"/>
            <w:vAlign w:val="bottom"/>
            <w:shd w:val="clear" w:color="auto" w:fill="D7E7F5"/>
          </w:tcPr>
          <w:p>
            <w:pPr>
              <w:spacing w:after="0"/>
              <w:rPr>
                <w:sz w:val="5"/>
                <w:szCs w:val="5"/>
                <w:color w:val="auto"/>
              </w:rPr>
            </w:pPr>
          </w:p>
        </w:tc>
        <w:tc>
          <w:tcPr>
            <w:tcW w:w="1060" w:type="dxa"/>
            <w:vAlign w:val="bottom"/>
            <w:shd w:val="clear" w:color="auto" w:fill="D7E7F5"/>
          </w:tcPr>
          <w:p>
            <w:pPr>
              <w:spacing w:after="0"/>
              <w:rPr>
                <w:sz w:val="5"/>
                <w:szCs w:val="5"/>
                <w:color w:val="auto"/>
              </w:rPr>
            </w:pPr>
          </w:p>
        </w:tc>
        <w:tc>
          <w:tcPr>
            <w:tcW w:w="520" w:type="dxa"/>
            <w:vAlign w:val="bottom"/>
            <w:shd w:val="clear" w:color="auto" w:fill="D7E7F5"/>
          </w:tcPr>
          <w:p>
            <w:pPr>
              <w:spacing w:after="0"/>
              <w:rPr>
                <w:sz w:val="5"/>
                <w:szCs w:val="5"/>
                <w:color w:val="auto"/>
              </w:rPr>
            </w:pPr>
          </w:p>
        </w:tc>
      </w:tr>
      <w:tr>
        <w:trPr>
          <w:trHeight w:val="365"/>
        </w:trPr>
        <w:tc>
          <w:tcPr>
            <w:tcW w:w="442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520" w:type="dxa"/>
            <w:vAlign w:val="bottom"/>
          </w:tcPr>
          <w:p>
            <w:pPr>
              <w:spacing w:after="0"/>
              <w:rPr>
                <w:sz w:val="24"/>
                <w:szCs w:val="24"/>
                <w:color w:val="auto"/>
              </w:rPr>
            </w:pPr>
          </w:p>
        </w:tc>
      </w:tr>
      <w:tr>
        <w:trPr>
          <w:trHeight w:val="301"/>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João Carlos de Nóbrega Pecego</w:t>
            </w:r>
          </w:p>
        </w:tc>
        <w:tc>
          <w:tcPr>
            <w:tcW w:w="1520" w:type="dxa"/>
            <w:vAlign w:val="bottom"/>
            <w:shd w:val="clear" w:color="auto" w:fill="D7E7F5"/>
          </w:tcPr>
          <w:p>
            <w:pPr>
              <w:spacing w:after="0"/>
              <w:rPr>
                <w:sz w:val="24"/>
                <w:szCs w:val="24"/>
                <w:color w:val="auto"/>
              </w:rPr>
            </w:pPr>
          </w:p>
        </w:tc>
        <w:tc>
          <w:tcPr>
            <w:tcW w:w="1340" w:type="dxa"/>
            <w:vAlign w:val="bottom"/>
            <w:shd w:val="clear" w:color="auto" w:fill="D7E7F5"/>
          </w:tcPr>
          <w:p>
            <w:pPr>
              <w:spacing w:after="0"/>
              <w:rPr>
                <w:sz w:val="24"/>
                <w:szCs w:val="24"/>
                <w:color w:val="auto"/>
              </w:rPr>
            </w:pPr>
          </w:p>
        </w:tc>
        <w:tc>
          <w:tcPr>
            <w:tcW w:w="1060" w:type="dxa"/>
            <w:vAlign w:val="bottom"/>
            <w:shd w:val="clear" w:color="auto" w:fill="D7E7F5"/>
          </w:tcPr>
          <w:p>
            <w:pPr>
              <w:spacing w:after="0"/>
              <w:rPr>
                <w:sz w:val="24"/>
                <w:szCs w:val="24"/>
                <w:color w:val="auto"/>
              </w:rPr>
            </w:pPr>
          </w:p>
        </w:tc>
        <w:tc>
          <w:tcPr>
            <w:tcW w:w="520" w:type="dxa"/>
            <w:vAlign w:val="bottom"/>
            <w:shd w:val="clear" w:color="auto" w:fill="D7E7F5"/>
          </w:tcPr>
          <w:p>
            <w:pPr>
              <w:spacing w:after="0"/>
              <w:rPr>
                <w:sz w:val="24"/>
                <w:szCs w:val="24"/>
                <w:color w:val="auto"/>
              </w:rPr>
            </w:pPr>
          </w:p>
        </w:tc>
      </w:tr>
      <w:tr>
        <w:trPr>
          <w:trHeight w:val="365"/>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Chief Executive Officer</w:t>
            </w:r>
          </w:p>
        </w:tc>
        <w:tc>
          <w:tcPr>
            <w:tcW w:w="1520" w:type="dxa"/>
            <w:vAlign w:val="bottom"/>
            <w:shd w:val="clear" w:color="auto" w:fill="D7E7F5"/>
          </w:tcPr>
          <w:p>
            <w:pPr>
              <w:spacing w:after="0"/>
              <w:rPr>
                <w:sz w:val="24"/>
                <w:szCs w:val="24"/>
                <w:color w:val="auto"/>
              </w:rPr>
            </w:pPr>
          </w:p>
        </w:tc>
        <w:tc>
          <w:tcPr>
            <w:tcW w:w="1340" w:type="dxa"/>
            <w:vAlign w:val="bottom"/>
            <w:shd w:val="clear" w:color="auto" w:fill="D7E7F5"/>
          </w:tcPr>
          <w:p>
            <w:pPr>
              <w:spacing w:after="0"/>
              <w:rPr>
                <w:sz w:val="24"/>
                <w:szCs w:val="24"/>
                <w:color w:val="auto"/>
              </w:rPr>
            </w:pPr>
          </w:p>
        </w:tc>
        <w:tc>
          <w:tcPr>
            <w:tcW w:w="1060" w:type="dxa"/>
            <w:vAlign w:val="bottom"/>
            <w:shd w:val="clear" w:color="auto" w:fill="D7E7F5"/>
          </w:tcPr>
          <w:p>
            <w:pPr>
              <w:spacing w:after="0"/>
              <w:rPr>
                <w:sz w:val="24"/>
                <w:szCs w:val="24"/>
                <w:color w:val="auto"/>
              </w:rPr>
            </w:pPr>
          </w:p>
        </w:tc>
        <w:tc>
          <w:tcPr>
            <w:tcW w:w="520" w:type="dxa"/>
            <w:vAlign w:val="bottom"/>
            <w:shd w:val="clear" w:color="auto" w:fill="D7E7F5"/>
          </w:tcPr>
          <w:p>
            <w:pPr>
              <w:spacing w:after="0"/>
              <w:rPr>
                <w:sz w:val="24"/>
                <w:szCs w:val="24"/>
                <w:color w:val="auto"/>
              </w:rPr>
            </w:pPr>
          </w:p>
        </w:tc>
      </w:tr>
      <w:tr>
        <w:trPr>
          <w:trHeight w:val="364"/>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Banco Patagonia, Argentina</w:t>
            </w:r>
          </w:p>
        </w:tc>
        <w:tc>
          <w:tcPr>
            <w:tcW w:w="1520" w:type="dxa"/>
            <w:vAlign w:val="bottom"/>
            <w:shd w:val="clear" w:color="auto" w:fill="D7E7F5"/>
          </w:tcPr>
          <w:p>
            <w:pPr>
              <w:jc w:val="center"/>
              <w:ind w:left="72"/>
              <w:spacing w:after="0"/>
              <w:rPr>
                <w:sz w:val="20"/>
                <w:szCs w:val="20"/>
                <w:color w:val="auto"/>
              </w:rPr>
            </w:pPr>
            <w:r>
              <w:rPr>
                <w:rFonts w:ascii="Arial" w:cs="Arial" w:eastAsia="Arial" w:hAnsi="Arial"/>
                <w:sz w:val="18"/>
                <w:szCs w:val="18"/>
                <w:color w:val="auto"/>
                <w:w w:val="97"/>
              </w:rPr>
              <w:t>Brazil</w:t>
            </w:r>
          </w:p>
        </w:tc>
        <w:tc>
          <w:tcPr>
            <w:tcW w:w="1340" w:type="dxa"/>
            <w:vAlign w:val="bottom"/>
            <w:shd w:val="clear" w:color="auto" w:fill="D7E7F5"/>
          </w:tcPr>
          <w:p>
            <w:pPr>
              <w:jc w:val="center"/>
              <w:spacing w:after="0"/>
              <w:rPr>
                <w:sz w:val="20"/>
                <w:szCs w:val="20"/>
                <w:color w:val="auto"/>
              </w:rPr>
            </w:pPr>
            <w:r>
              <w:rPr>
                <w:rFonts w:ascii="Arial" w:cs="Arial" w:eastAsia="Arial" w:hAnsi="Arial"/>
                <w:sz w:val="18"/>
                <w:szCs w:val="18"/>
                <w:color w:val="auto"/>
              </w:rPr>
              <w:t>Director</w:t>
            </w:r>
          </w:p>
        </w:tc>
        <w:tc>
          <w:tcPr>
            <w:tcW w:w="106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2022</w:t>
            </w:r>
          </w:p>
        </w:tc>
        <w:tc>
          <w:tcPr>
            <w:tcW w:w="52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57</w:t>
            </w:r>
          </w:p>
        </w:tc>
      </w:tr>
      <w:tr>
        <w:trPr>
          <w:trHeight w:val="64"/>
        </w:trPr>
        <w:tc>
          <w:tcPr>
            <w:tcW w:w="4420" w:type="dxa"/>
            <w:vAlign w:val="bottom"/>
            <w:shd w:val="clear" w:color="auto" w:fill="D7E7F5"/>
          </w:tcPr>
          <w:p>
            <w:pPr>
              <w:spacing w:after="0"/>
              <w:rPr>
                <w:sz w:val="5"/>
                <w:szCs w:val="5"/>
                <w:color w:val="auto"/>
              </w:rPr>
            </w:pPr>
          </w:p>
        </w:tc>
        <w:tc>
          <w:tcPr>
            <w:tcW w:w="1520" w:type="dxa"/>
            <w:vAlign w:val="bottom"/>
            <w:shd w:val="clear" w:color="auto" w:fill="D7E7F5"/>
          </w:tcPr>
          <w:p>
            <w:pPr>
              <w:spacing w:after="0"/>
              <w:rPr>
                <w:sz w:val="5"/>
                <w:szCs w:val="5"/>
                <w:color w:val="auto"/>
              </w:rPr>
            </w:pPr>
          </w:p>
        </w:tc>
        <w:tc>
          <w:tcPr>
            <w:tcW w:w="1340" w:type="dxa"/>
            <w:vAlign w:val="bottom"/>
            <w:shd w:val="clear" w:color="auto" w:fill="D7E7F5"/>
          </w:tcPr>
          <w:p>
            <w:pPr>
              <w:spacing w:after="0"/>
              <w:rPr>
                <w:sz w:val="5"/>
                <w:szCs w:val="5"/>
                <w:color w:val="auto"/>
              </w:rPr>
            </w:pPr>
          </w:p>
        </w:tc>
        <w:tc>
          <w:tcPr>
            <w:tcW w:w="1060" w:type="dxa"/>
            <w:vAlign w:val="bottom"/>
            <w:shd w:val="clear" w:color="auto" w:fill="D7E7F5"/>
          </w:tcPr>
          <w:p>
            <w:pPr>
              <w:spacing w:after="0"/>
              <w:rPr>
                <w:sz w:val="5"/>
                <w:szCs w:val="5"/>
                <w:color w:val="auto"/>
              </w:rPr>
            </w:pPr>
          </w:p>
        </w:tc>
        <w:tc>
          <w:tcPr>
            <w:tcW w:w="520" w:type="dxa"/>
            <w:vAlign w:val="bottom"/>
            <w:shd w:val="clear" w:color="auto" w:fill="D7E7F5"/>
          </w:tcPr>
          <w:p>
            <w:pPr>
              <w:spacing w:after="0"/>
              <w:rPr>
                <w:sz w:val="5"/>
                <w:szCs w:val="5"/>
                <w:color w:val="auto"/>
              </w:rPr>
            </w:pPr>
          </w:p>
        </w:tc>
      </w:tr>
      <w:tr>
        <w:trPr>
          <w:trHeight w:val="309"/>
        </w:trPr>
        <w:tc>
          <w:tcPr>
            <w:tcW w:w="4420" w:type="dxa"/>
            <w:vAlign w:val="bottom"/>
          </w:tcPr>
          <w:p>
            <w:pPr>
              <w:ind w:left="100"/>
              <w:spacing w:after="0"/>
              <w:rPr>
                <w:sz w:val="20"/>
                <w:szCs w:val="20"/>
                <w:color w:val="auto"/>
              </w:rPr>
            </w:pPr>
            <w:r>
              <w:rPr>
                <w:rFonts w:ascii="Arial" w:cs="Arial" w:eastAsia="Arial" w:hAnsi="Arial"/>
                <w:sz w:val="18"/>
                <w:szCs w:val="18"/>
                <w:b w:val="1"/>
                <w:bCs w:val="1"/>
                <w:color w:val="auto"/>
              </w:rPr>
              <w:t>CLASS E</w:t>
            </w:r>
          </w:p>
        </w:tc>
        <w:tc>
          <w:tcPr>
            <w:tcW w:w="15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520" w:type="dxa"/>
            <w:vAlign w:val="bottom"/>
          </w:tcPr>
          <w:p>
            <w:pPr>
              <w:spacing w:after="0"/>
              <w:rPr>
                <w:sz w:val="24"/>
                <w:szCs w:val="24"/>
                <w:color w:val="auto"/>
              </w:rPr>
            </w:pPr>
          </w:p>
        </w:tc>
      </w:tr>
      <w:tr>
        <w:trPr>
          <w:trHeight w:val="56"/>
        </w:trPr>
        <w:tc>
          <w:tcPr>
            <w:tcW w:w="4420" w:type="dxa"/>
            <w:vAlign w:val="bottom"/>
          </w:tcPr>
          <w:p>
            <w:pPr>
              <w:spacing w:after="0"/>
              <w:rPr>
                <w:sz w:val="4"/>
                <w:szCs w:val="4"/>
                <w:color w:val="auto"/>
              </w:rPr>
            </w:pPr>
          </w:p>
        </w:tc>
        <w:tc>
          <w:tcPr>
            <w:tcW w:w="1520" w:type="dxa"/>
            <w:vAlign w:val="bottom"/>
          </w:tcPr>
          <w:p>
            <w:pPr>
              <w:spacing w:after="0"/>
              <w:rPr>
                <w:sz w:val="4"/>
                <w:szCs w:val="4"/>
                <w:color w:val="auto"/>
              </w:rPr>
            </w:pPr>
          </w:p>
        </w:tc>
        <w:tc>
          <w:tcPr>
            <w:tcW w:w="1340" w:type="dxa"/>
            <w:vAlign w:val="bottom"/>
          </w:tcPr>
          <w:p>
            <w:pPr>
              <w:spacing w:after="0"/>
              <w:rPr>
                <w:sz w:val="4"/>
                <w:szCs w:val="4"/>
                <w:color w:val="auto"/>
              </w:rPr>
            </w:pPr>
          </w:p>
        </w:tc>
        <w:tc>
          <w:tcPr>
            <w:tcW w:w="1060" w:type="dxa"/>
            <w:vAlign w:val="bottom"/>
          </w:tcPr>
          <w:p>
            <w:pPr>
              <w:spacing w:after="0"/>
              <w:rPr>
                <w:sz w:val="4"/>
                <w:szCs w:val="4"/>
                <w:color w:val="auto"/>
              </w:rPr>
            </w:pPr>
          </w:p>
        </w:tc>
        <w:tc>
          <w:tcPr>
            <w:tcW w:w="520" w:type="dxa"/>
            <w:vAlign w:val="bottom"/>
          </w:tcPr>
          <w:p>
            <w:pPr>
              <w:spacing w:after="0"/>
              <w:rPr>
                <w:sz w:val="4"/>
                <w:szCs w:val="4"/>
                <w:color w:val="auto"/>
              </w:rPr>
            </w:pPr>
          </w:p>
        </w:tc>
      </w:tr>
      <w:tr>
        <w:trPr>
          <w:trHeight w:val="301"/>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Ricardo Manuel Arango</w:t>
            </w:r>
          </w:p>
        </w:tc>
        <w:tc>
          <w:tcPr>
            <w:tcW w:w="1520" w:type="dxa"/>
            <w:vAlign w:val="bottom"/>
            <w:shd w:val="clear" w:color="auto" w:fill="D7E7F5"/>
          </w:tcPr>
          <w:p>
            <w:pPr>
              <w:spacing w:after="0"/>
              <w:rPr>
                <w:sz w:val="24"/>
                <w:szCs w:val="24"/>
                <w:color w:val="auto"/>
              </w:rPr>
            </w:pPr>
          </w:p>
        </w:tc>
        <w:tc>
          <w:tcPr>
            <w:tcW w:w="1340" w:type="dxa"/>
            <w:vAlign w:val="bottom"/>
            <w:shd w:val="clear" w:color="auto" w:fill="D7E7F5"/>
          </w:tcPr>
          <w:p>
            <w:pPr>
              <w:spacing w:after="0"/>
              <w:rPr>
                <w:sz w:val="24"/>
                <w:szCs w:val="24"/>
                <w:color w:val="auto"/>
              </w:rPr>
            </w:pPr>
          </w:p>
        </w:tc>
        <w:tc>
          <w:tcPr>
            <w:tcW w:w="1060" w:type="dxa"/>
            <w:vAlign w:val="bottom"/>
            <w:shd w:val="clear" w:color="auto" w:fill="D7E7F5"/>
          </w:tcPr>
          <w:p>
            <w:pPr>
              <w:spacing w:after="0"/>
              <w:rPr>
                <w:sz w:val="24"/>
                <w:szCs w:val="24"/>
                <w:color w:val="auto"/>
              </w:rPr>
            </w:pPr>
          </w:p>
        </w:tc>
        <w:tc>
          <w:tcPr>
            <w:tcW w:w="520" w:type="dxa"/>
            <w:vAlign w:val="bottom"/>
            <w:shd w:val="clear" w:color="auto" w:fill="D7E7F5"/>
          </w:tcPr>
          <w:p>
            <w:pPr>
              <w:spacing w:after="0"/>
              <w:rPr>
                <w:sz w:val="24"/>
                <w:szCs w:val="24"/>
                <w:color w:val="auto"/>
              </w:rPr>
            </w:pPr>
          </w:p>
        </w:tc>
      </w:tr>
      <w:tr>
        <w:trPr>
          <w:trHeight w:val="364"/>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Senior Partner</w:t>
            </w:r>
          </w:p>
        </w:tc>
        <w:tc>
          <w:tcPr>
            <w:tcW w:w="1520" w:type="dxa"/>
            <w:vAlign w:val="bottom"/>
            <w:shd w:val="clear" w:color="auto" w:fill="D7E7F5"/>
          </w:tcPr>
          <w:p>
            <w:pPr>
              <w:spacing w:after="0"/>
              <w:rPr>
                <w:sz w:val="24"/>
                <w:szCs w:val="24"/>
                <w:color w:val="auto"/>
              </w:rPr>
            </w:pPr>
          </w:p>
        </w:tc>
        <w:tc>
          <w:tcPr>
            <w:tcW w:w="1340" w:type="dxa"/>
            <w:vAlign w:val="bottom"/>
            <w:shd w:val="clear" w:color="auto" w:fill="D7E7F5"/>
          </w:tcPr>
          <w:p>
            <w:pPr>
              <w:spacing w:after="0"/>
              <w:rPr>
                <w:sz w:val="24"/>
                <w:szCs w:val="24"/>
                <w:color w:val="auto"/>
              </w:rPr>
            </w:pPr>
          </w:p>
        </w:tc>
        <w:tc>
          <w:tcPr>
            <w:tcW w:w="1060" w:type="dxa"/>
            <w:vAlign w:val="bottom"/>
            <w:shd w:val="clear" w:color="auto" w:fill="D7E7F5"/>
          </w:tcPr>
          <w:p>
            <w:pPr>
              <w:spacing w:after="0"/>
              <w:rPr>
                <w:sz w:val="24"/>
                <w:szCs w:val="24"/>
                <w:color w:val="auto"/>
              </w:rPr>
            </w:pPr>
          </w:p>
        </w:tc>
        <w:tc>
          <w:tcPr>
            <w:tcW w:w="520" w:type="dxa"/>
            <w:vAlign w:val="bottom"/>
            <w:shd w:val="clear" w:color="auto" w:fill="D7E7F5"/>
          </w:tcPr>
          <w:p>
            <w:pPr>
              <w:spacing w:after="0"/>
              <w:rPr>
                <w:sz w:val="24"/>
                <w:szCs w:val="24"/>
                <w:color w:val="auto"/>
              </w:rPr>
            </w:pPr>
          </w:p>
        </w:tc>
      </w:tr>
      <w:tr>
        <w:trPr>
          <w:trHeight w:val="365"/>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Arias, Fábrega y Fábrega, Panama</w:t>
            </w:r>
          </w:p>
        </w:tc>
        <w:tc>
          <w:tcPr>
            <w:tcW w:w="1520" w:type="dxa"/>
            <w:vAlign w:val="bottom"/>
            <w:shd w:val="clear" w:color="auto" w:fill="D7E7F5"/>
          </w:tcPr>
          <w:p>
            <w:pPr>
              <w:jc w:val="center"/>
              <w:ind w:left="72"/>
              <w:spacing w:after="0"/>
              <w:rPr>
                <w:sz w:val="20"/>
                <w:szCs w:val="20"/>
                <w:color w:val="auto"/>
              </w:rPr>
            </w:pPr>
            <w:r>
              <w:rPr>
                <w:rFonts w:ascii="Arial" w:cs="Arial" w:eastAsia="Arial" w:hAnsi="Arial"/>
                <w:sz w:val="18"/>
                <w:szCs w:val="18"/>
                <w:color w:val="auto"/>
              </w:rPr>
              <w:t>Panama</w:t>
            </w:r>
          </w:p>
        </w:tc>
        <w:tc>
          <w:tcPr>
            <w:tcW w:w="1340" w:type="dxa"/>
            <w:vAlign w:val="bottom"/>
            <w:shd w:val="clear" w:color="auto" w:fill="D7E7F5"/>
          </w:tcPr>
          <w:p>
            <w:pPr>
              <w:jc w:val="center"/>
              <w:spacing w:after="0"/>
              <w:rPr>
                <w:sz w:val="20"/>
                <w:szCs w:val="20"/>
                <w:color w:val="auto"/>
              </w:rPr>
            </w:pPr>
            <w:r>
              <w:rPr>
                <w:rFonts w:ascii="Arial" w:cs="Arial" w:eastAsia="Arial" w:hAnsi="Arial"/>
                <w:sz w:val="18"/>
                <w:szCs w:val="18"/>
                <w:color w:val="auto"/>
              </w:rPr>
              <w:t>Director</w:t>
            </w:r>
          </w:p>
        </w:tc>
        <w:tc>
          <w:tcPr>
            <w:tcW w:w="106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2022</w:t>
            </w:r>
          </w:p>
        </w:tc>
        <w:tc>
          <w:tcPr>
            <w:tcW w:w="52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60</w:t>
            </w:r>
          </w:p>
        </w:tc>
      </w:tr>
      <w:tr>
        <w:trPr>
          <w:trHeight w:val="64"/>
        </w:trPr>
        <w:tc>
          <w:tcPr>
            <w:tcW w:w="4420" w:type="dxa"/>
            <w:vAlign w:val="bottom"/>
            <w:shd w:val="clear" w:color="auto" w:fill="D7E7F5"/>
          </w:tcPr>
          <w:p>
            <w:pPr>
              <w:spacing w:after="0"/>
              <w:rPr>
                <w:sz w:val="5"/>
                <w:szCs w:val="5"/>
                <w:color w:val="auto"/>
              </w:rPr>
            </w:pPr>
          </w:p>
        </w:tc>
        <w:tc>
          <w:tcPr>
            <w:tcW w:w="1520" w:type="dxa"/>
            <w:vAlign w:val="bottom"/>
            <w:shd w:val="clear" w:color="auto" w:fill="D7E7F5"/>
          </w:tcPr>
          <w:p>
            <w:pPr>
              <w:spacing w:after="0"/>
              <w:rPr>
                <w:sz w:val="5"/>
                <w:szCs w:val="5"/>
                <w:color w:val="auto"/>
              </w:rPr>
            </w:pPr>
          </w:p>
        </w:tc>
        <w:tc>
          <w:tcPr>
            <w:tcW w:w="1340" w:type="dxa"/>
            <w:vAlign w:val="bottom"/>
            <w:shd w:val="clear" w:color="auto" w:fill="D7E7F5"/>
          </w:tcPr>
          <w:p>
            <w:pPr>
              <w:spacing w:after="0"/>
              <w:rPr>
                <w:sz w:val="5"/>
                <w:szCs w:val="5"/>
                <w:color w:val="auto"/>
              </w:rPr>
            </w:pPr>
          </w:p>
        </w:tc>
        <w:tc>
          <w:tcPr>
            <w:tcW w:w="1060" w:type="dxa"/>
            <w:vAlign w:val="bottom"/>
            <w:shd w:val="clear" w:color="auto" w:fill="D7E7F5"/>
          </w:tcPr>
          <w:p>
            <w:pPr>
              <w:spacing w:after="0"/>
              <w:rPr>
                <w:sz w:val="5"/>
                <w:szCs w:val="5"/>
                <w:color w:val="auto"/>
              </w:rPr>
            </w:pPr>
          </w:p>
        </w:tc>
        <w:tc>
          <w:tcPr>
            <w:tcW w:w="520" w:type="dxa"/>
            <w:vAlign w:val="bottom"/>
            <w:shd w:val="clear" w:color="auto" w:fill="D7E7F5"/>
          </w:tcPr>
          <w:p>
            <w:pPr>
              <w:spacing w:after="0"/>
              <w:rPr>
                <w:sz w:val="5"/>
                <w:szCs w:val="5"/>
                <w:color w:val="auto"/>
              </w:rPr>
            </w:pPr>
          </w:p>
        </w:tc>
      </w:tr>
      <w:tr>
        <w:trPr>
          <w:trHeight w:val="365"/>
        </w:trPr>
        <w:tc>
          <w:tcPr>
            <w:tcW w:w="442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520" w:type="dxa"/>
            <w:vAlign w:val="bottom"/>
          </w:tcPr>
          <w:p>
            <w:pPr>
              <w:spacing w:after="0"/>
              <w:rPr>
                <w:sz w:val="24"/>
                <w:szCs w:val="24"/>
                <w:color w:val="auto"/>
              </w:rPr>
            </w:pPr>
          </w:p>
        </w:tc>
      </w:tr>
      <w:tr>
        <w:trPr>
          <w:trHeight w:val="301"/>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Herminio A. Blanco</w:t>
            </w:r>
          </w:p>
        </w:tc>
        <w:tc>
          <w:tcPr>
            <w:tcW w:w="1520" w:type="dxa"/>
            <w:vAlign w:val="bottom"/>
            <w:shd w:val="clear" w:color="auto" w:fill="D7E7F5"/>
          </w:tcPr>
          <w:p>
            <w:pPr>
              <w:spacing w:after="0"/>
              <w:rPr>
                <w:sz w:val="24"/>
                <w:szCs w:val="24"/>
                <w:color w:val="auto"/>
              </w:rPr>
            </w:pPr>
          </w:p>
        </w:tc>
        <w:tc>
          <w:tcPr>
            <w:tcW w:w="1340" w:type="dxa"/>
            <w:vAlign w:val="bottom"/>
            <w:shd w:val="clear" w:color="auto" w:fill="D7E7F5"/>
          </w:tcPr>
          <w:p>
            <w:pPr>
              <w:spacing w:after="0"/>
              <w:rPr>
                <w:sz w:val="24"/>
                <w:szCs w:val="24"/>
                <w:color w:val="auto"/>
              </w:rPr>
            </w:pPr>
          </w:p>
        </w:tc>
        <w:tc>
          <w:tcPr>
            <w:tcW w:w="1060" w:type="dxa"/>
            <w:vAlign w:val="bottom"/>
            <w:shd w:val="clear" w:color="auto" w:fill="D7E7F5"/>
          </w:tcPr>
          <w:p>
            <w:pPr>
              <w:spacing w:after="0"/>
              <w:rPr>
                <w:sz w:val="24"/>
                <w:szCs w:val="24"/>
                <w:color w:val="auto"/>
              </w:rPr>
            </w:pPr>
          </w:p>
        </w:tc>
        <w:tc>
          <w:tcPr>
            <w:tcW w:w="520" w:type="dxa"/>
            <w:vAlign w:val="bottom"/>
            <w:shd w:val="clear" w:color="auto" w:fill="D7E7F5"/>
          </w:tcPr>
          <w:p>
            <w:pPr>
              <w:spacing w:after="0"/>
              <w:rPr>
                <w:sz w:val="24"/>
                <w:szCs w:val="24"/>
                <w:color w:val="auto"/>
              </w:rPr>
            </w:pPr>
          </w:p>
        </w:tc>
      </w:tr>
      <w:tr>
        <w:trPr>
          <w:trHeight w:val="364"/>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President</w:t>
            </w:r>
          </w:p>
        </w:tc>
        <w:tc>
          <w:tcPr>
            <w:tcW w:w="1520" w:type="dxa"/>
            <w:vAlign w:val="bottom"/>
            <w:shd w:val="clear" w:color="auto" w:fill="D7E7F5"/>
          </w:tcPr>
          <w:p>
            <w:pPr>
              <w:spacing w:after="0"/>
              <w:rPr>
                <w:sz w:val="24"/>
                <w:szCs w:val="24"/>
                <w:color w:val="auto"/>
              </w:rPr>
            </w:pPr>
          </w:p>
        </w:tc>
        <w:tc>
          <w:tcPr>
            <w:tcW w:w="1340" w:type="dxa"/>
            <w:vAlign w:val="bottom"/>
            <w:shd w:val="clear" w:color="auto" w:fill="D7E7F5"/>
          </w:tcPr>
          <w:p>
            <w:pPr>
              <w:spacing w:after="0"/>
              <w:rPr>
                <w:sz w:val="24"/>
                <w:szCs w:val="24"/>
                <w:color w:val="auto"/>
              </w:rPr>
            </w:pPr>
          </w:p>
        </w:tc>
        <w:tc>
          <w:tcPr>
            <w:tcW w:w="1060" w:type="dxa"/>
            <w:vAlign w:val="bottom"/>
            <w:shd w:val="clear" w:color="auto" w:fill="D7E7F5"/>
          </w:tcPr>
          <w:p>
            <w:pPr>
              <w:spacing w:after="0"/>
              <w:rPr>
                <w:sz w:val="24"/>
                <w:szCs w:val="24"/>
                <w:color w:val="auto"/>
              </w:rPr>
            </w:pPr>
          </w:p>
        </w:tc>
        <w:tc>
          <w:tcPr>
            <w:tcW w:w="520" w:type="dxa"/>
            <w:vAlign w:val="bottom"/>
            <w:shd w:val="clear" w:color="auto" w:fill="D7E7F5"/>
          </w:tcPr>
          <w:p>
            <w:pPr>
              <w:spacing w:after="0"/>
              <w:rPr>
                <w:sz w:val="24"/>
                <w:szCs w:val="24"/>
                <w:color w:val="auto"/>
              </w:rPr>
            </w:pPr>
          </w:p>
        </w:tc>
      </w:tr>
      <w:tr>
        <w:trPr>
          <w:trHeight w:val="365"/>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IQOM, Mexico</w:t>
            </w:r>
          </w:p>
        </w:tc>
        <w:tc>
          <w:tcPr>
            <w:tcW w:w="1520" w:type="dxa"/>
            <w:vAlign w:val="bottom"/>
            <w:shd w:val="clear" w:color="auto" w:fill="D7E7F5"/>
          </w:tcPr>
          <w:p>
            <w:pPr>
              <w:jc w:val="center"/>
              <w:ind w:left="72"/>
              <w:spacing w:after="0"/>
              <w:rPr>
                <w:sz w:val="20"/>
                <w:szCs w:val="20"/>
                <w:color w:val="auto"/>
              </w:rPr>
            </w:pPr>
            <w:r>
              <w:rPr>
                <w:rFonts w:ascii="Arial" w:cs="Arial" w:eastAsia="Arial" w:hAnsi="Arial"/>
                <w:sz w:val="18"/>
                <w:szCs w:val="18"/>
                <w:color w:val="auto"/>
                <w:w w:val="98"/>
              </w:rPr>
              <w:t>Mexico</w:t>
            </w:r>
          </w:p>
        </w:tc>
        <w:tc>
          <w:tcPr>
            <w:tcW w:w="1340" w:type="dxa"/>
            <w:vAlign w:val="bottom"/>
            <w:shd w:val="clear" w:color="auto" w:fill="D7E7F5"/>
          </w:tcPr>
          <w:p>
            <w:pPr>
              <w:jc w:val="center"/>
              <w:spacing w:after="0"/>
              <w:rPr>
                <w:sz w:val="20"/>
                <w:szCs w:val="20"/>
                <w:color w:val="auto"/>
              </w:rPr>
            </w:pPr>
            <w:r>
              <w:rPr>
                <w:rFonts w:ascii="Arial" w:cs="Arial" w:eastAsia="Arial" w:hAnsi="Arial"/>
                <w:sz w:val="18"/>
                <w:szCs w:val="18"/>
                <w:color w:val="auto"/>
              </w:rPr>
              <w:t>Director</w:t>
            </w:r>
          </w:p>
        </w:tc>
        <w:tc>
          <w:tcPr>
            <w:tcW w:w="106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2022</w:t>
            </w:r>
          </w:p>
        </w:tc>
        <w:tc>
          <w:tcPr>
            <w:tcW w:w="52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70</w:t>
            </w:r>
          </w:p>
        </w:tc>
      </w:tr>
      <w:tr>
        <w:trPr>
          <w:trHeight w:val="64"/>
        </w:trPr>
        <w:tc>
          <w:tcPr>
            <w:tcW w:w="4420" w:type="dxa"/>
            <w:vAlign w:val="bottom"/>
            <w:shd w:val="clear" w:color="auto" w:fill="D7E7F5"/>
          </w:tcPr>
          <w:p>
            <w:pPr>
              <w:spacing w:after="0"/>
              <w:rPr>
                <w:sz w:val="5"/>
                <w:szCs w:val="5"/>
                <w:color w:val="auto"/>
              </w:rPr>
            </w:pPr>
          </w:p>
        </w:tc>
        <w:tc>
          <w:tcPr>
            <w:tcW w:w="1520" w:type="dxa"/>
            <w:vAlign w:val="bottom"/>
            <w:shd w:val="clear" w:color="auto" w:fill="D7E7F5"/>
          </w:tcPr>
          <w:p>
            <w:pPr>
              <w:spacing w:after="0"/>
              <w:rPr>
                <w:sz w:val="5"/>
                <w:szCs w:val="5"/>
                <w:color w:val="auto"/>
              </w:rPr>
            </w:pPr>
          </w:p>
        </w:tc>
        <w:tc>
          <w:tcPr>
            <w:tcW w:w="1340" w:type="dxa"/>
            <w:vAlign w:val="bottom"/>
            <w:shd w:val="clear" w:color="auto" w:fill="D7E7F5"/>
          </w:tcPr>
          <w:p>
            <w:pPr>
              <w:spacing w:after="0"/>
              <w:rPr>
                <w:sz w:val="5"/>
                <w:szCs w:val="5"/>
                <w:color w:val="auto"/>
              </w:rPr>
            </w:pPr>
          </w:p>
        </w:tc>
        <w:tc>
          <w:tcPr>
            <w:tcW w:w="1060" w:type="dxa"/>
            <w:vAlign w:val="bottom"/>
            <w:shd w:val="clear" w:color="auto" w:fill="D7E7F5"/>
          </w:tcPr>
          <w:p>
            <w:pPr>
              <w:spacing w:after="0"/>
              <w:rPr>
                <w:sz w:val="5"/>
                <w:szCs w:val="5"/>
                <w:color w:val="auto"/>
              </w:rPr>
            </w:pPr>
          </w:p>
        </w:tc>
        <w:tc>
          <w:tcPr>
            <w:tcW w:w="520" w:type="dxa"/>
            <w:vAlign w:val="bottom"/>
            <w:shd w:val="clear" w:color="auto" w:fill="D7E7F5"/>
          </w:tcPr>
          <w:p>
            <w:pPr>
              <w:spacing w:after="0"/>
              <w:rPr>
                <w:sz w:val="5"/>
                <w:szCs w:val="5"/>
                <w:color w:val="auto"/>
              </w:rPr>
            </w:pPr>
          </w:p>
        </w:tc>
      </w:tr>
      <w:tr>
        <w:trPr>
          <w:trHeight w:val="364"/>
        </w:trPr>
        <w:tc>
          <w:tcPr>
            <w:tcW w:w="442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520" w:type="dxa"/>
            <w:vAlign w:val="bottom"/>
          </w:tcPr>
          <w:p>
            <w:pPr>
              <w:spacing w:after="0"/>
              <w:rPr>
                <w:sz w:val="24"/>
                <w:szCs w:val="24"/>
                <w:color w:val="auto"/>
              </w:rPr>
            </w:pPr>
          </w:p>
        </w:tc>
      </w:tr>
      <w:tr>
        <w:trPr>
          <w:trHeight w:val="301"/>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Mario Covo</w:t>
            </w:r>
          </w:p>
        </w:tc>
        <w:tc>
          <w:tcPr>
            <w:tcW w:w="1520" w:type="dxa"/>
            <w:vAlign w:val="bottom"/>
            <w:shd w:val="clear" w:color="auto" w:fill="D7E7F5"/>
          </w:tcPr>
          <w:p>
            <w:pPr>
              <w:spacing w:after="0"/>
              <w:rPr>
                <w:sz w:val="24"/>
                <w:szCs w:val="24"/>
                <w:color w:val="auto"/>
              </w:rPr>
            </w:pPr>
          </w:p>
        </w:tc>
        <w:tc>
          <w:tcPr>
            <w:tcW w:w="1340" w:type="dxa"/>
            <w:vAlign w:val="bottom"/>
            <w:shd w:val="clear" w:color="auto" w:fill="D7E7F5"/>
          </w:tcPr>
          <w:p>
            <w:pPr>
              <w:spacing w:after="0"/>
              <w:rPr>
                <w:sz w:val="24"/>
                <w:szCs w:val="24"/>
                <w:color w:val="auto"/>
              </w:rPr>
            </w:pPr>
          </w:p>
        </w:tc>
        <w:tc>
          <w:tcPr>
            <w:tcW w:w="1060" w:type="dxa"/>
            <w:vAlign w:val="bottom"/>
            <w:shd w:val="clear" w:color="auto" w:fill="D7E7F5"/>
          </w:tcPr>
          <w:p>
            <w:pPr>
              <w:spacing w:after="0"/>
              <w:rPr>
                <w:sz w:val="24"/>
                <w:szCs w:val="24"/>
                <w:color w:val="auto"/>
              </w:rPr>
            </w:pPr>
          </w:p>
        </w:tc>
        <w:tc>
          <w:tcPr>
            <w:tcW w:w="520" w:type="dxa"/>
            <w:vAlign w:val="bottom"/>
            <w:shd w:val="clear" w:color="auto" w:fill="D7E7F5"/>
          </w:tcPr>
          <w:p>
            <w:pPr>
              <w:spacing w:after="0"/>
              <w:rPr>
                <w:sz w:val="24"/>
                <w:szCs w:val="24"/>
                <w:color w:val="auto"/>
              </w:rPr>
            </w:pPr>
          </w:p>
        </w:tc>
      </w:tr>
      <w:tr>
        <w:trPr>
          <w:trHeight w:val="364"/>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Founding Partner</w:t>
            </w:r>
          </w:p>
        </w:tc>
        <w:tc>
          <w:tcPr>
            <w:tcW w:w="1520" w:type="dxa"/>
            <w:vAlign w:val="bottom"/>
            <w:shd w:val="clear" w:color="auto" w:fill="D7E7F5"/>
          </w:tcPr>
          <w:p>
            <w:pPr>
              <w:spacing w:after="0"/>
              <w:rPr>
                <w:sz w:val="24"/>
                <w:szCs w:val="24"/>
                <w:color w:val="auto"/>
              </w:rPr>
            </w:pPr>
          </w:p>
        </w:tc>
        <w:tc>
          <w:tcPr>
            <w:tcW w:w="1340" w:type="dxa"/>
            <w:vAlign w:val="bottom"/>
            <w:shd w:val="clear" w:color="auto" w:fill="D7E7F5"/>
          </w:tcPr>
          <w:p>
            <w:pPr>
              <w:spacing w:after="0"/>
              <w:rPr>
                <w:sz w:val="24"/>
                <w:szCs w:val="24"/>
                <w:color w:val="auto"/>
              </w:rPr>
            </w:pPr>
          </w:p>
        </w:tc>
        <w:tc>
          <w:tcPr>
            <w:tcW w:w="1060" w:type="dxa"/>
            <w:vAlign w:val="bottom"/>
            <w:shd w:val="clear" w:color="auto" w:fill="D7E7F5"/>
          </w:tcPr>
          <w:p>
            <w:pPr>
              <w:spacing w:after="0"/>
              <w:rPr>
                <w:sz w:val="24"/>
                <w:szCs w:val="24"/>
                <w:color w:val="auto"/>
              </w:rPr>
            </w:pPr>
          </w:p>
        </w:tc>
        <w:tc>
          <w:tcPr>
            <w:tcW w:w="520" w:type="dxa"/>
            <w:vAlign w:val="bottom"/>
            <w:shd w:val="clear" w:color="auto" w:fill="D7E7F5"/>
          </w:tcPr>
          <w:p>
            <w:pPr>
              <w:spacing w:after="0"/>
              <w:rPr>
                <w:sz w:val="24"/>
                <w:szCs w:val="24"/>
                <w:color w:val="auto"/>
              </w:rPr>
            </w:pPr>
          </w:p>
        </w:tc>
      </w:tr>
      <w:tr>
        <w:trPr>
          <w:trHeight w:val="364"/>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DanaMar LLC</w:t>
            </w:r>
          </w:p>
        </w:tc>
        <w:tc>
          <w:tcPr>
            <w:tcW w:w="1520" w:type="dxa"/>
            <w:vAlign w:val="bottom"/>
            <w:shd w:val="clear" w:color="auto" w:fill="D7E7F5"/>
          </w:tcPr>
          <w:p>
            <w:pPr>
              <w:jc w:val="center"/>
              <w:ind w:left="72"/>
              <w:spacing w:after="0"/>
              <w:rPr>
                <w:sz w:val="20"/>
                <w:szCs w:val="20"/>
                <w:color w:val="auto"/>
              </w:rPr>
            </w:pPr>
            <w:r>
              <w:rPr>
                <w:rFonts w:ascii="Arial" w:cs="Arial" w:eastAsia="Arial" w:hAnsi="Arial"/>
                <w:sz w:val="18"/>
                <w:szCs w:val="18"/>
                <w:color w:val="auto"/>
                <w:w w:val="99"/>
              </w:rPr>
              <w:t>United States</w:t>
            </w:r>
          </w:p>
        </w:tc>
        <w:tc>
          <w:tcPr>
            <w:tcW w:w="1340" w:type="dxa"/>
            <w:vAlign w:val="bottom"/>
            <w:shd w:val="clear" w:color="auto" w:fill="D7E7F5"/>
          </w:tcPr>
          <w:p>
            <w:pPr>
              <w:jc w:val="center"/>
              <w:spacing w:after="0"/>
              <w:rPr>
                <w:sz w:val="20"/>
                <w:szCs w:val="20"/>
                <w:color w:val="auto"/>
              </w:rPr>
            </w:pPr>
            <w:r>
              <w:rPr>
                <w:rFonts w:ascii="Arial" w:cs="Arial" w:eastAsia="Arial" w:hAnsi="Arial"/>
                <w:sz w:val="18"/>
                <w:szCs w:val="18"/>
                <w:color w:val="auto"/>
              </w:rPr>
              <w:t>Director</w:t>
            </w:r>
          </w:p>
        </w:tc>
        <w:tc>
          <w:tcPr>
            <w:tcW w:w="106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2023</w:t>
            </w:r>
          </w:p>
        </w:tc>
        <w:tc>
          <w:tcPr>
            <w:tcW w:w="52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63</w:t>
            </w:r>
          </w:p>
        </w:tc>
      </w:tr>
      <w:tr>
        <w:trPr>
          <w:trHeight w:val="64"/>
        </w:trPr>
        <w:tc>
          <w:tcPr>
            <w:tcW w:w="4420" w:type="dxa"/>
            <w:vAlign w:val="bottom"/>
            <w:shd w:val="clear" w:color="auto" w:fill="D7E7F5"/>
          </w:tcPr>
          <w:p>
            <w:pPr>
              <w:spacing w:after="0"/>
              <w:rPr>
                <w:sz w:val="5"/>
                <w:szCs w:val="5"/>
                <w:color w:val="auto"/>
              </w:rPr>
            </w:pPr>
          </w:p>
        </w:tc>
        <w:tc>
          <w:tcPr>
            <w:tcW w:w="1520" w:type="dxa"/>
            <w:vAlign w:val="bottom"/>
            <w:shd w:val="clear" w:color="auto" w:fill="D7E7F5"/>
          </w:tcPr>
          <w:p>
            <w:pPr>
              <w:spacing w:after="0"/>
              <w:rPr>
                <w:sz w:val="5"/>
                <w:szCs w:val="5"/>
                <w:color w:val="auto"/>
              </w:rPr>
            </w:pPr>
          </w:p>
        </w:tc>
        <w:tc>
          <w:tcPr>
            <w:tcW w:w="1340" w:type="dxa"/>
            <w:vAlign w:val="bottom"/>
            <w:shd w:val="clear" w:color="auto" w:fill="D7E7F5"/>
          </w:tcPr>
          <w:p>
            <w:pPr>
              <w:spacing w:after="0"/>
              <w:rPr>
                <w:sz w:val="5"/>
                <w:szCs w:val="5"/>
                <w:color w:val="auto"/>
              </w:rPr>
            </w:pPr>
          </w:p>
        </w:tc>
        <w:tc>
          <w:tcPr>
            <w:tcW w:w="1060" w:type="dxa"/>
            <w:vAlign w:val="bottom"/>
            <w:shd w:val="clear" w:color="auto" w:fill="D7E7F5"/>
          </w:tcPr>
          <w:p>
            <w:pPr>
              <w:spacing w:after="0"/>
              <w:rPr>
                <w:sz w:val="5"/>
                <w:szCs w:val="5"/>
                <w:color w:val="auto"/>
              </w:rPr>
            </w:pPr>
          </w:p>
        </w:tc>
        <w:tc>
          <w:tcPr>
            <w:tcW w:w="520" w:type="dxa"/>
            <w:vAlign w:val="bottom"/>
            <w:shd w:val="clear" w:color="auto" w:fill="D7E7F5"/>
          </w:tcPr>
          <w:p>
            <w:pPr>
              <w:spacing w:after="0"/>
              <w:rPr>
                <w:sz w:val="5"/>
                <w:szCs w:val="5"/>
                <w:color w:val="auto"/>
              </w:rPr>
            </w:pPr>
          </w:p>
        </w:tc>
      </w:tr>
      <w:tr>
        <w:trPr>
          <w:trHeight w:val="365"/>
        </w:trPr>
        <w:tc>
          <w:tcPr>
            <w:tcW w:w="442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520" w:type="dxa"/>
            <w:vAlign w:val="bottom"/>
          </w:tcPr>
          <w:p>
            <w:pPr>
              <w:spacing w:after="0"/>
              <w:rPr>
                <w:sz w:val="24"/>
                <w:szCs w:val="24"/>
                <w:color w:val="auto"/>
              </w:rPr>
            </w:pPr>
          </w:p>
        </w:tc>
      </w:tr>
      <w:tr>
        <w:trPr>
          <w:trHeight w:val="301"/>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Roland Holst</w:t>
            </w:r>
          </w:p>
        </w:tc>
        <w:tc>
          <w:tcPr>
            <w:tcW w:w="1520" w:type="dxa"/>
            <w:vAlign w:val="bottom"/>
            <w:shd w:val="clear" w:color="auto" w:fill="D7E7F5"/>
          </w:tcPr>
          <w:p>
            <w:pPr>
              <w:spacing w:after="0"/>
              <w:rPr>
                <w:sz w:val="24"/>
                <w:szCs w:val="24"/>
                <w:color w:val="auto"/>
              </w:rPr>
            </w:pPr>
          </w:p>
        </w:tc>
        <w:tc>
          <w:tcPr>
            <w:tcW w:w="1340" w:type="dxa"/>
            <w:vAlign w:val="bottom"/>
            <w:shd w:val="clear" w:color="auto" w:fill="D7E7F5"/>
          </w:tcPr>
          <w:p>
            <w:pPr>
              <w:spacing w:after="0"/>
              <w:rPr>
                <w:sz w:val="24"/>
                <w:szCs w:val="24"/>
                <w:color w:val="auto"/>
              </w:rPr>
            </w:pPr>
          </w:p>
        </w:tc>
        <w:tc>
          <w:tcPr>
            <w:tcW w:w="1060" w:type="dxa"/>
            <w:vAlign w:val="bottom"/>
            <w:shd w:val="clear" w:color="auto" w:fill="D7E7F5"/>
          </w:tcPr>
          <w:p>
            <w:pPr>
              <w:spacing w:after="0"/>
              <w:rPr>
                <w:sz w:val="24"/>
                <w:szCs w:val="24"/>
                <w:color w:val="auto"/>
              </w:rPr>
            </w:pPr>
          </w:p>
        </w:tc>
        <w:tc>
          <w:tcPr>
            <w:tcW w:w="520" w:type="dxa"/>
            <w:vAlign w:val="bottom"/>
            <w:shd w:val="clear" w:color="auto" w:fill="D7E7F5"/>
          </w:tcPr>
          <w:p>
            <w:pPr>
              <w:spacing w:after="0"/>
              <w:rPr>
                <w:sz w:val="24"/>
                <w:szCs w:val="24"/>
                <w:color w:val="auto"/>
              </w:rPr>
            </w:pPr>
          </w:p>
        </w:tc>
      </w:tr>
      <w:tr>
        <w:trPr>
          <w:trHeight w:val="365"/>
        </w:trPr>
        <w:tc>
          <w:tcPr>
            <w:tcW w:w="4420" w:type="dxa"/>
            <w:vAlign w:val="bottom"/>
            <w:shd w:val="clear" w:color="auto" w:fill="D7E7F5"/>
          </w:tcPr>
          <w:p>
            <w:pPr>
              <w:ind w:left="100"/>
              <w:spacing w:after="0"/>
              <w:rPr>
                <w:sz w:val="20"/>
                <w:szCs w:val="20"/>
                <w:color w:val="auto"/>
              </w:rPr>
            </w:pPr>
            <w:r>
              <w:rPr>
                <w:rFonts w:ascii="Arial" w:cs="Arial" w:eastAsia="Arial" w:hAnsi="Arial"/>
                <w:sz w:val="18"/>
                <w:szCs w:val="18"/>
                <w:color w:val="auto"/>
              </w:rPr>
              <w:t>Board Member</w:t>
            </w:r>
          </w:p>
        </w:tc>
        <w:tc>
          <w:tcPr>
            <w:tcW w:w="1520" w:type="dxa"/>
            <w:vAlign w:val="bottom"/>
            <w:shd w:val="clear" w:color="auto" w:fill="D7E7F5"/>
          </w:tcPr>
          <w:p>
            <w:pPr>
              <w:spacing w:after="0"/>
              <w:rPr>
                <w:sz w:val="24"/>
                <w:szCs w:val="24"/>
                <w:color w:val="auto"/>
              </w:rPr>
            </w:pPr>
          </w:p>
        </w:tc>
        <w:tc>
          <w:tcPr>
            <w:tcW w:w="1340" w:type="dxa"/>
            <w:vAlign w:val="bottom"/>
            <w:shd w:val="clear" w:color="auto" w:fill="D7E7F5"/>
          </w:tcPr>
          <w:p>
            <w:pPr>
              <w:spacing w:after="0"/>
              <w:rPr>
                <w:sz w:val="24"/>
                <w:szCs w:val="24"/>
                <w:color w:val="auto"/>
              </w:rPr>
            </w:pPr>
          </w:p>
        </w:tc>
        <w:tc>
          <w:tcPr>
            <w:tcW w:w="1060" w:type="dxa"/>
            <w:vAlign w:val="bottom"/>
            <w:shd w:val="clear" w:color="auto" w:fill="D7E7F5"/>
          </w:tcPr>
          <w:p>
            <w:pPr>
              <w:spacing w:after="0"/>
              <w:rPr>
                <w:sz w:val="24"/>
                <w:szCs w:val="24"/>
                <w:color w:val="auto"/>
              </w:rPr>
            </w:pPr>
          </w:p>
        </w:tc>
        <w:tc>
          <w:tcPr>
            <w:tcW w:w="520" w:type="dxa"/>
            <w:vAlign w:val="bottom"/>
            <w:shd w:val="clear" w:color="auto" w:fill="D7E7F5"/>
          </w:tcPr>
          <w:p>
            <w:pPr>
              <w:spacing w:after="0"/>
              <w:rPr>
                <w:sz w:val="24"/>
                <w:szCs w:val="24"/>
                <w:color w:val="auto"/>
              </w:rPr>
            </w:pPr>
          </w:p>
        </w:tc>
      </w:tr>
      <w:tr>
        <w:trPr>
          <w:trHeight w:val="406"/>
        </w:trPr>
        <w:tc>
          <w:tcPr>
            <w:tcW w:w="442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Sudameris Bank, Paraguay</w:t>
            </w:r>
          </w:p>
        </w:tc>
        <w:tc>
          <w:tcPr>
            <w:tcW w:w="1520" w:type="dxa"/>
            <w:vAlign w:val="bottom"/>
            <w:tcBorders>
              <w:bottom w:val="single" w:sz="8" w:color="D7E7F5"/>
            </w:tcBorders>
            <w:shd w:val="clear" w:color="auto" w:fill="D7E7F5"/>
          </w:tcPr>
          <w:p>
            <w:pPr>
              <w:jc w:val="center"/>
              <w:ind w:left="72"/>
              <w:spacing w:after="0"/>
              <w:rPr>
                <w:sz w:val="20"/>
                <w:szCs w:val="20"/>
                <w:color w:val="auto"/>
              </w:rPr>
            </w:pPr>
            <w:r>
              <w:rPr>
                <w:rFonts w:ascii="Arial" w:cs="Arial" w:eastAsia="Arial" w:hAnsi="Arial"/>
                <w:sz w:val="18"/>
                <w:szCs w:val="18"/>
                <w:color w:val="auto"/>
                <w:w w:val="98"/>
              </w:rPr>
              <w:t>Paraguay</w:t>
            </w:r>
          </w:p>
        </w:tc>
        <w:tc>
          <w:tcPr>
            <w:tcW w:w="134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rPr>
              <w:t>Director</w:t>
            </w:r>
          </w:p>
        </w:tc>
        <w:tc>
          <w:tcPr>
            <w:tcW w:w="106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w w:val="99"/>
              </w:rPr>
              <w:t>2022</w:t>
            </w:r>
          </w:p>
        </w:tc>
        <w:tc>
          <w:tcPr>
            <w:tcW w:w="52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w w:val="99"/>
              </w:rPr>
              <w:t>51</w:t>
            </w:r>
          </w:p>
        </w:tc>
      </w:tr>
      <w:tr>
        <w:trPr>
          <w:trHeight w:val="209"/>
        </w:trPr>
        <w:tc>
          <w:tcPr>
            <w:tcW w:w="4420" w:type="dxa"/>
            <w:vAlign w:val="bottom"/>
            <w:tcBorders>
              <w:top w:val="single" w:sz="8" w:color="0065C1"/>
              <w:bottom w:val="single" w:sz="8" w:color="auto"/>
            </w:tcBorders>
          </w:tcPr>
          <w:p>
            <w:pPr>
              <w:spacing w:after="0"/>
              <w:rPr>
                <w:sz w:val="18"/>
                <w:szCs w:val="18"/>
                <w:color w:val="auto"/>
              </w:rPr>
            </w:pPr>
          </w:p>
        </w:tc>
        <w:tc>
          <w:tcPr>
            <w:tcW w:w="1520" w:type="dxa"/>
            <w:vAlign w:val="bottom"/>
            <w:tcBorders>
              <w:top w:val="single" w:sz="8" w:color="0065C1"/>
              <w:bottom w:val="single" w:sz="8" w:color="auto"/>
            </w:tcBorders>
          </w:tcPr>
          <w:p>
            <w:pPr>
              <w:spacing w:after="0"/>
              <w:rPr>
                <w:sz w:val="18"/>
                <w:szCs w:val="18"/>
                <w:color w:val="auto"/>
              </w:rPr>
            </w:pPr>
          </w:p>
        </w:tc>
        <w:tc>
          <w:tcPr>
            <w:tcW w:w="1340" w:type="dxa"/>
            <w:vAlign w:val="bottom"/>
            <w:tcBorders>
              <w:top w:val="single" w:sz="8" w:color="0065C1"/>
              <w:bottom w:val="single" w:sz="8" w:color="auto"/>
            </w:tcBorders>
          </w:tcPr>
          <w:p>
            <w:pPr>
              <w:spacing w:after="0"/>
              <w:rPr>
                <w:sz w:val="18"/>
                <w:szCs w:val="18"/>
                <w:color w:val="auto"/>
              </w:rPr>
            </w:pPr>
          </w:p>
        </w:tc>
        <w:tc>
          <w:tcPr>
            <w:tcW w:w="1060" w:type="dxa"/>
            <w:vAlign w:val="bottom"/>
            <w:tcBorders>
              <w:top w:val="single" w:sz="8" w:color="0065C1"/>
              <w:bottom w:val="single" w:sz="8" w:color="auto"/>
            </w:tcBorders>
          </w:tcPr>
          <w:p>
            <w:pPr>
              <w:spacing w:after="0"/>
              <w:rPr>
                <w:sz w:val="18"/>
                <w:szCs w:val="18"/>
                <w:color w:val="auto"/>
              </w:rPr>
            </w:pPr>
          </w:p>
        </w:tc>
        <w:tc>
          <w:tcPr>
            <w:tcW w:w="520" w:type="dxa"/>
            <w:vAlign w:val="bottom"/>
            <w:tcBorders>
              <w:top w:val="single" w:sz="8" w:color="0065C1"/>
              <w:bottom w:val="single" w:sz="8" w:color="auto"/>
            </w:tcBorders>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5260340</wp:posOffset>
            </wp:positionH>
            <wp:positionV relativeFrom="paragraph">
              <wp:posOffset>77470</wp:posOffset>
            </wp:positionV>
            <wp:extent cx="411480" cy="17970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117"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12</w:t>
        <w:tab/>
        <w:t>Proxy Statement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193040</wp:posOffset>
            </wp:positionV>
            <wp:extent cx="6995160" cy="171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4" w:right="1440" w:bottom="1440" w:gutter="0" w:footer="0" w:header="0"/>
        </w:sectPr>
      </w:pPr>
    </w:p>
    <w:bookmarkStart w:id="19" w:name="page20"/>
    <w:bookmarkEnd w:id="19"/>
    <w:p>
      <w:pPr>
        <w:jc w:val="right"/>
        <w:ind w:left="520" w:right="79"/>
        <w:spacing w:after="0" w:line="251" w:lineRule="auto"/>
        <w:rPr>
          <w:sz w:val="20"/>
          <w:szCs w:val="20"/>
          <w:color w:val="auto"/>
        </w:rPr>
      </w:pPr>
      <w:r>
        <w:rPr>
          <w:rFonts w:ascii="Arial" w:cs="Arial" w:eastAsia="Arial" w:hAnsi="Arial"/>
          <w:sz w:val="22"/>
          <w:szCs w:val="22"/>
          <w:color w:val="0065C1"/>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182880</wp:posOffset>
            </wp:positionV>
            <wp:extent cx="5623560" cy="825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159385</wp:posOffset>
            </wp:positionH>
            <wp:positionV relativeFrom="paragraph">
              <wp:posOffset>-1517650</wp:posOffset>
            </wp:positionV>
            <wp:extent cx="1028700" cy="117475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1028700" cy="1174750"/>
                    </a:xfrm>
                    <a:prstGeom prst="rect">
                      <a:avLst/>
                    </a:prstGeom>
                    <a:noFill/>
                  </pic:spPr>
                </pic:pic>
              </a:graphicData>
            </a:graphic>
          </wp:anchor>
        </w:drawing>
      </w:r>
    </w:p>
    <w:p>
      <w:pPr>
        <w:spacing w:after="0" w:line="7"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159385</wp:posOffset>
            </wp:positionH>
            <wp:positionV relativeFrom="paragraph">
              <wp:posOffset>868045</wp:posOffset>
            </wp:positionV>
            <wp:extent cx="1019810" cy="113157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1019810" cy="11315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57</w:t>
      </w:r>
    </w:p>
    <w:p>
      <w:pPr>
        <w:spacing w:after="0" w:line="27"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159385</wp:posOffset>
            </wp:positionH>
            <wp:positionV relativeFrom="paragraph">
              <wp:posOffset>636270</wp:posOffset>
            </wp:positionV>
            <wp:extent cx="1019810" cy="13462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1019810" cy="1346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50</w:t>
      </w:r>
    </w:p>
    <w:p>
      <w:pPr>
        <w:spacing w:after="0" w:line="27"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833755</wp:posOffset>
            </wp:positionV>
            <wp:extent cx="411480" cy="1803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45" w:lineRule="exact"/>
        <w:rPr>
          <w:sz w:val="20"/>
          <w:szCs w:val="20"/>
          <w:color w:val="auto"/>
        </w:rPr>
      </w:pPr>
    </w:p>
    <w:p>
      <w:pPr>
        <w:jc w:val="both"/>
        <w:ind w:right="199"/>
        <w:spacing w:after="0" w:line="249" w:lineRule="auto"/>
        <w:rPr>
          <w:sz w:val="20"/>
          <w:szCs w:val="20"/>
          <w:color w:val="auto"/>
        </w:rPr>
      </w:pPr>
      <w:r>
        <w:rPr>
          <w:rFonts w:ascii="Arial" w:cs="Arial" w:eastAsia="Arial" w:hAnsi="Arial"/>
          <w:sz w:val="16"/>
          <w:szCs w:val="16"/>
          <w:b w:val="1"/>
          <w:bCs w:val="1"/>
          <w:color w:val="auto"/>
        </w:rPr>
        <w:t>Eduardo Hecker</w:t>
      </w:r>
      <w:r>
        <w:rPr>
          <w:rFonts w:ascii="Arial" w:cs="Arial" w:eastAsia="Arial" w:hAnsi="Arial"/>
          <w:sz w:val="16"/>
          <w:szCs w:val="16"/>
          <w:color w:val="auto"/>
        </w:rPr>
        <w:t>, Director of the Board since 2020, is Chairman of Banco de la Nación</w:t>
      </w:r>
      <w:r>
        <w:rPr>
          <w:rFonts w:ascii="Arial" w:cs="Arial" w:eastAsia="Arial" w:hAnsi="Arial"/>
          <w:sz w:val="16"/>
          <w:szCs w:val="16"/>
          <w:b w:val="1"/>
          <w:bCs w:val="1"/>
          <w:color w:val="auto"/>
        </w:rPr>
        <w:t xml:space="preserve"> </w:t>
      </w:r>
      <w:r>
        <w:rPr>
          <w:rFonts w:ascii="Arial" w:cs="Arial" w:eastAsia="Arial" w:hAnsi="Arial"/>
          <w:sz w:val="16"/>
          <w:szCs w:val="16"/>
          <w:color w:val="auto"/>
        </w:rPr>
        <w:t>Argentina, Argentina, Chairman of Asociación de Bancos Públicos y Privados de la República Argentina (ABAPPRA) and Play Digital S.A. since 2019. He previously served as Director of DEL Consultores, Argentina. Mr. Hecker was President of the Comisión Nacional de Valores, Chairman of Banco de la Ciudad de Buenos Aires, Argentina, Second Vice President of Asociación de Bancos Públicos y Privados de la República Argentina (ABAPPRA), Director of Red Link, S.A., Argentina, Secretary of Desarrollo Económico de la Ciudad de Buenos Aires and Director of Centro de Estudios para la Producción-Secretaría de Industria, Comercio y Minería de Argentina. He is currently Director of the Program for Specialization in Banking Administration of Universidad de la Matanza (UNLaM),Argentina and is the author of the following books:</w:t>
      </w:r>
      <w:r>
        <w:rPr>
          <w:rFonts w:ascii="Arial" w:cs="Arial" w:eastAsia="Arial" w:hAnsi="Arial"/>
          <w:sz w:val="16"/>
          <w:szCs w:val="16"/>
          <w:i w:val="1"/>
          <w:iCs w:val="1"/>
          <w:color w:val="auto"/>
        </w:rPr>
        <w:t>Los desafíos del desarrollo, diagnósticos y</w:t>
      </w:r>
      <w:r>
        <w:rPr>
          <w:rFonts w:ascii="Arial" w:cs="Arial" w:eastAsia="Arial" w:hAnsi="Arial"/>
          <w:sz w:val="16"/>
          <w:szCs w:val="16"/>
          <w:color w:val="auto"/>
        </w:rPr>
        <w:t xml:space="preserve"> propuestas published in 2005,</w:t>
      </w:r>
      <w:r>
        <w:rPr>
          <w:rFonts w:ascii="Arial" w:cs="Arial" w:eastAsia="Arial" w:hAnsi="Arial"/>
          <w:sz w:val="16"/>
          <w:szCs w:val="16"/>
          <w:i w:val="1"/>
          <w:iCs w:val="1"/>
          <w:color w:val="auto"/>
        </w:rPr>
        <w:t>Hacia del desarrollo económico, ventajas competitivas, actores</w:t>
      </w:r>
      <w:r>
        <w:rPr>
          <w:rFonts w:ascii="Arial" w:cs="Arial" w:eastAsia="Arial" w:hAnsi="Arial"/>
          <w:sz w:val="16"/>
          <w:szCs w:val="16"/>
          <w:color w:val="auto"/>
        </w:rPr>
        <w:t xml:space="preserve"> </w:t>
      </w:r>
      <w:r>
        <w:rPr>
          <w:rFonts w:ascii="Arial" w:cs="Arial" w:eastAsia="Arial" w:hAnsi="Arial"/>
          <w:sz w:val="16"/>
          <w:szCs w:val="16"/>
          <w:i w:val="1"/>
          <w:iCs w:val="1"/>
          <w:color w:val="auto"/>
        </w:rPr>
        <w:t>y políticas en la Ciudad de Buenos Aires</w:t>
      </w:r>
      <w:r>
        <w:rPr>
          <w:rFonts w:ascii="Arial" w:cs="Arial" w:eastAsia="Arial" w:hAnsi="Arial"/>
          <w:sz w:val="16"/>
          <w:szCs w:val="16"/>
          <w:color w:val="auto"/>
        </w:rPr>
        <w:t>, published in 2003,</w:t>
      </w:r>
      <w:r>
        <w:rPr>
          <w:rFonts w:ascii="Arial" w:cs="Arial" w:eastAsia="Arial" w:hAnsi="Arial"/>
          <w:sz w:val="16"/>
          <w:szCs w:val="16"/>
          <w:i w:val="1"/>
          <w:iCs w:val="1"/>
          <w:color w:val="auto"/>
        </w:rPr>
        <w:t>La inversion extranjera en la Argentina en los años ´90</w:t>
      </w:r>
      <w:r>
        <w:rPr>
          <w:rFonts w:ascii="Arial" w:cs="Arial" w:eastAsia="Arial" w:hAnsi="Arial"/>
          <w:sz w:val="16"/>
          <w:szCs w:val="16"/>
          <w:color w:val="auto"/>
        </w:rPr>
        <w:t>, published in 1998, among others. In 2003, Mr. Hecker was</w:t>
      </w:r>
      <w:r>
        <w:rPr>
          <w:rFonts w:ascii="Arial" w:cs="Arial" w:eastAsia="Arial" w:hAnsi="Arial"/>
          <w:sz w:val="16"/>
          <w:szCs w:val="16"/>
          <w:i w:val="1"/>
          <w:iCs w:val="1"/>
          <w:color w:val="auto"/>
        </w:rPr>
        <w:t xml:space="preserve"> </w:t>
      </w:r>
      <w:r>
        <w:rPr>
          <w:rFonts w:ascii="Arial" w:cs="Arial" w:eastAsia="Arial" w:hAnsi="Arial"/>
          <w:sz w:val="16"/>
          <w:szCs w:val="16"/>
          <w:color w:val="auto"/>
        </w:rPr>
        <w:t>recognized by Noticias Urbanas with a Quality Award granted under the topic Best Government Management during his office of Secretary of Economic Development of the city of Buenos Aires. Mr. Hecker holds a degree in Economics of Universidad de Buenos Aires, Argentina. His extensive experience along with his academic and consulting skills, qualify him to serve in the board.</w:t>
      </w:r>
    </w:p>
    <w:p>
      <w:pPr>
        <w:spacing w:after="0" w:line="200" w:lineRule="exact"/>
        <w:rPr>
          <w:sz w:val="20"/>
          <w:szCs w:val="20"/>
          <w:color w:val="auto"/>
        </w:rPr>
      </w:pPr>
    </w:p>
    <w:p>
      <w:pPr>
        <w:spacing w:after="0" w:line="333" w:lineRule="exact"/>
        <w:rPr>
          <w:sz w:val="20"/>
          <w:szCs w:val="20"/>
          <w:color w:val="auto"/>
        </w:rPr>
      </w:pPr>
    </w:p>
    <w:p>
      <w:pPr>
        <w:jc w:val="both"/>
        <w:ind w:right="199"/>
        <w:spacing w:after="0" w:line="249" w:lineRule="auto"/>
        <w:rPr>
          <w:sz w:val="20"/>
          <w:szCs w:val="20"/>
          <w:color w:val="auto"/>
        </w:rPr>
      </w:pPr>
      <w:r>
        <w:rPr>
          <w:rFonts w:ascii="Arial" w:cs="Arial" w:eastAsia="Arial" w:hAnsi="Arial"/>
          <w:sz w:val="16"/>
          <w:szCs w:val="16"/>
          <w:b w:val="1"/>
          <w:bCs w:val="1"/>
          <w:color w:val="auto"/>
        </w:rPr>
        <w:t xml:space="preserve">João Carlos de Nóbrega Pecego, </w:t>
      </w:r>
      <w:r>
        <w:rPr>
          <w:rFonts w:ascii="Arial" w:cs="Arial" w:eastAsia="Arial" w:hAnsi="Arial"/>
          <w:sz w:val="16"/>
          <w:szCs w:val="16"/>
          <w:color w:val="auto"/>
        </w:rPr>
        <w:t>Director of the Board since 2010, is Chief Executive</w:t>
      </w:r>
      <w:r>
        <w:rPr>
          <w:rFonts w:ascii="Arial" w:cs="Arial" w:eastAsia="Arial" w:hAnsi="Arial"/>
          <w:sz w:val="16"/>
          <w:szCs w:val="16"/>
          <w:b w:val="1"/>
          <w:bCs w:val="1"/>
          <w:color w:val="auto"/>
        </w:rPr>
        <w:t xml:space="preserve"> </w:t>
      </w:r>
      <w:r>
        <w:rPr>
          <w:rFonts w:ascii="Arial" w:cs="Arial" w:eastAsia="Arial" w:hAnsi="Arial"/>
          <w:sz w:val="16"/>
          <w:szCs w:val="16"/>
          <w:color w:val="auto"/>
        </w:rPr>
        <w:t>Officer of Banco Patagonia, Argentina since 2014,Vice President of GPAT Compañía Financiera since 2016, Director of Patagonia Valores since 2011,Director of Banco Patagonia Uruguay since 2011 and Director of ABA, Asociación de Bancos de la Argentina since 2018. Mr. Pecego was President of Grupo Brasil and Director of Visa Argentina and Director of ADEBA, Asociación de Bancos Argentinos. Mr.Pecego was also Vice President of Banco Patagonia,Argentina from 2011 to 2014 and President of GPAT Compañía Financiera from 2011 to 2016. He has been employed by Banco do Brasil in various capacities since 1978, holding the positions of Manager of the main agencies in the State of São Paulo, Commercial Superintendent in the South Region of Brazil, Executive Manager responsible for Projects and Corporate Financing and Regional General Director - Head of Latin America of Banco do Brasil based in Argentina. Mr. Pecego holds a degree in Business Administration, a postgraduate degree in Business Management from Instituto São Luiz, São Paulo, an MBA in International Business from Fundación Don Cabral, Minais Gerais and in Marketing from Pontificia Universidade Católica do Rio de Janeiro, (PUC). Mr. Pecego was formally commended by the Brazilian government for his work in Mercosur. Mr. Pecego’s professional experience in and related to the banking industry qualifies him to serve on the Board.</w:t>
      </w:r>
    </w:p>
    <w:p>
      <w:pPr>
        <w:spacing w:after="0" w:line="292" w:lineRule="exact"/>
        <w:rPr>
          <w:sz w:val="20"/>
          <w:szCs w:val="20"/>
          <w:color w:val="auto"/>
        </w:rPr>
      </w:pPr>
    </w:p>
    <w:p>
      <w:pPr>
        <w:jc w:val="both"/>
        <w:ind w:right="199"/>
        <w:spacing w:after="0" w:line="249" w:lineRule="auto"/>
        <w:rPr>
          <w:sz w:val="20"/>
          <w:szCs w:val="20"/>
          <w:color w:val="auto"/>
        </w:rPr>
      </w:pPr>
      <w:r>
        <w:rPr>
          <w:rFonts w:ascii="Arial" w:cs="Arial" w:eastAsia="Arial" w:hAnsi="Arial"/>
          <w:sz w:val="16"/>
          <w:szCs w:val="16"/>
          <w:b w:val="1"/>
          <w:bCs w:val="1"/>
          <w:color w:val="auto"/>
        </w:rPr>
        <w:t xml:space="preserve">José Alberto Garzón, </w:t>
      </w:r>
      <w:r>
        <w:rPr>
          <w:rFonts w:ascii="Arial" w:cs="Arial" w:eastAsia="Arial" w:hAnsi="Arial"/>
          <w:sz w:val="16"/>
          <w:szCs w:val="16"/>
          <w:color w:val="auto"/>
        </w:rPr>
        <w:t>Director of Board since 2017, is Legal Vice President and General</w:t>
      </w:r>
      <w:r>
        <w:rPr>
          <w:rFonts w:ascii="Arial" w:cs="Arial" w:eastAsia="Arial" w:hAnsi="Arial"/>
          <w:sz w:val="16"/>
          <w:szCs w:val="16"/>
          <w:b w:val="1"/>
          <w:bCs w:val="1"/>
          <w:color w:val="auto"/>
        </w:rPr>
        <w:t xml:space="preserve"> </w:t>
      </w:r>
      <w:r>
        <w:rPr>
          <w:rFonts w:ascii="Arial" w:cs="Arial" w:eastAsia="Arial" w:hAnsi="Arial"/>
          <w:sz w:val="16"/>
          <w:szCs w:val="16"/>
          <w:color w:val="auto"/>
        </w:rPr>
        <w:t>Secretary of Banco de Comercio Exterior de Colombia S.A. (Bancoldex) in Colombia since 2003, Administrative Vice President from 2016 to 2017 and in various other capacities with Bancoldex since 1995, holding the positions of Director of the Legal Department and Attorney in the Legal Department. Mr. Garzón has served as a member of the Board of Directors of Fiduciaria Colombiana de Comercio Exterior S.A. (Fiducoldex) in Colombia since 2016, Leasing Bancoldex S.A. Compañía de Financiamiento in Colombia since 2015 and Segurexpo de Colombia, S.A. Aseguradora de Crédito in Colombia since 2000. Previously Mr.Garzón was an Attorney at Legis Editores in Colombia and General Manager of Servibolsa Ltda. Servicios Inmobiliarios. He was a Professor of Credit Insurance in the Insurance Law Program at Pontificia Universidad Javeriana in Colombia and previously taught History of Political Ideas and Insurance at Fundación Universitaria Jorge Tadeo Lozano in Colombia. Mr. Garzón holds a Law degree and a Master’s degree in Financial Law from Universidad del Rosario in Colombia. Mr. Garzón also holds Master’s degrees in Commercial Law and Project Finance Studies from Universidad de Los Andes in Colombia and Insurance Law from Pontificia Universidad Javeriana in Colombia. Mr.Garzón is a graduate of Transformative Business Leadership at Centro de Liderazgo y Gestión and of Leading Economic Growth at Harvard’s Kennedy School. Mr.Garzón’s first-hand experience and vast knowledge of administrative, legal and regulatory matters relating to the banking industry and, in particular, trade finance qualifies him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-1297305</wp:posOffset>
            </wp:positionH>
            <wp:positionV relativeFrom="paragraph">
              <wp:posOffset>160020</wp:posOffset>
            </wp:positionV>
            <wp:extent cx="5623560" cy="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800" w:space="320"/>
            <w:col w:w="6899"/>
          </w:cols>
          <w:pgMar w:left="1440" w:top="281" w:right="1440" w:bottom="1440" w:gutter="0" w:footer="0" w:header="0"/>
          <w:type w:val="continuous"/>
        </w:sectPr>
      </w:pPr>
    </w:p>
    <w:p>
      <w:pPr>
        <w:spacing w:after="0" w:line="203" w:lineRule="exact"/>
        <w:rPr>
          <w:sz w:val="20"/>
          <w:szCs w:val="20"/>
          <w:color w:val="auto"/>
        </w:rPr>
      </w:pPr>
    </w:p>
    <w:p>
      <w:pPr>
        <w:ind w:left="6600"/>
        <w:spacing w:after="0"/>
        <w:tabs>
          <w:tab w:leader="none" w:pos="8720" w:val="left"/>
        </w:tabs>
        <w:rPr>
          <w:sz w:val="20"/>
          <w:szCs w:val="20"/>
          <w:color w:val="auto"/>
        </w:rPr>
      </w:pPr>
      <w:r>
        <w:rPr>
          <w:rFonts w:ascii="Arial" w:cs="Arial" w:eastAsia="Arial" w:hAnsi="Arial"/>
          <w:sz w:val="18"/>
          <w:szCs w:val="18"/>
          <w:b w:val="1"/>
          <w:bCs w:val="1"/>
          <w:color w:val="auto"/>
        </w:rPr>
        <w:t>Proxy Statement 2021</w:t>
      </w:r>
      <w:r>
        <w:rPr>
          <w:sz w:val="20"/>
          <w:szCs w:val="20"/>
          <w:color w:val="auto"/>
        </w:rPr>
        <w:tab/>
      </w:r>
      <w:r>
        <w:rPr>
          <w:rFonts w:ascii="Arial" w:cs="Arial" w:eastAsia="Arial" w:hAnsi="Arial"/>
          <w:sz w:val="17"/>
          <w:szCs w:val="17"/>
          <w:b w:val="1"/>
          <w:bCs w:val="1"/>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193040</wp:posOffset>
            </wp:positionV>
            <wp:extent cx="6995160" cy="1714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type w:val="continuous"/>
        </w:sectPr>
      </w:pPr>
    </w:p>
    <w:bookmarkStart w:id="20" w:name="page21"/>
    <w:bookmarkEnd w:id="20"/>
    <w:p>
      <w:pPr>
        <w:ind w:left="80" w:right="539"/>
        <w:spacing w:after="0" w:line="251" w:lineRule="auto"/>
        <w:rPr>
          <w:sz w:val="20"/>
          <w:szCs w:val="20"/>
          <w:color w:val="auto"/>
        </w:rPr>
      </w:pPr>
      <w:r>
        <w:rPr>
          <w:rFonts w:ascii="Arial" w:cs="Arial" w:eastAsia="Arial" w:hAnsi="Arial"/>
          <w:sz w:val="22"/>
          <w:szCs w:val="22"/>
          <w:color w:val="0065C1"/>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182880</wp:posOffset>
            </wp:positionV>
            <wp:extent cx="5623560" cy="82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159385</wp:posOffset>
            </wp:positionH>
            <wp:positionV relativeFrom="paragraph">
              <wp:posOffset>-1475105</wp:posOffset>
            </wp:positionV>
            <wp:extent cx="1019810" cy="113157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1019810" cy="1131570"/>
                    </a:xfrm>
                    <a:prstGeom prst="rect">
                      <a:avLst/>
                    </a:prstGeom>
                    <a:noFill/>
                  </pic:spPr>
                </pic:pic>
              </a:graphicData>
            </a:graphic>
          </wp:anchor>
        </w:drawing>
      </w:r>
    </w:p>
    <w:p>
      <w:pPr>
        <w:spacing w:after="0" w:line="7"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159385</wp:posOffset>
            </wp:positionH>
            <wp:positionV relativeFrom="paragraph">
              <wp:posOffset>1544955</wp:posOffset>
            </wp:positionV>
            <wp:extent cx="1019810" cy="113157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1019810" cy="11315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70</w:t>
      </w:r>
    </w:p>
    <w:p>
      <w:pPr>
        <w:spacing w:after="0" w:line="27"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159385</wp:posOffset>
            </wp:positionH>
            <wp:positionV relativeFrom="paragraph">
              <wp:posOffset>902335</wp:posOffset>
            </wp:positionV>
            <wp:extent cx="1019810" cy="113157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1019810" cy="11315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63</w:t>
      </w:r>
    </w:p>
    <w:p>
      <w:pPr>
        <w:spacing w:after="0" w:line="27"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1999</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45" w:lineRule="exact"/>
        <w:rPr>
          <w:sz w:val="20"/>
          <w:szCs w:val="20"/>
          <w:color w:val="auto"/>
        </w:rPr>
      </w:pPr>
    </w:p>
    <w:p>
      <w:pPr>
        <w:jc w:val="both"/>
        <w:ind w:right="199"/>
        <w:spacing w:after="0" w:line="248" w:lineRule="auto"/>
        <w:rPr>
          <w:sz w:val="20"/>
          <w:szCs w:val="20"/>
          <w:color w:val="auto"/>
        </w:rPr>
      </w:pPr>
      <w:r>
        <w:rPr>
          <w:rFonts w:ascii="Arial" w:cs="Arial" w:eastAsia="Arial" w:hAnsi="Arial"/>
          <w:sz w:val="16"/>
          <w:szCs w:val="16"/>
          <w:b w:val="1"/>
          <w:bCs w:val="1"/>
          <w:color w:val="auto"/>
        </w:rPr>
        <w:t xml:space="preserve">Ricardo Manuel Arango, </w:t>
      </w:r>
      <w:r>
        <w:rPr>
          <w:rFonts w:ascii="Arial" w:cs="Arial" w:eastAsia="Arial" w:hAnsi="Arial"/>
          <w:sz w:val="16"/>
          <w:szCs w:val="16"/>
          <w:color w:val="auto"/>
        </w:rPr>
        <w:t>Director of the Board since 2016, is Senior Partner of the law firm</w:t>
      </w:r>
      <w:r>
        <w:rPr>
          <w:rFonts w:ascii="Arial" w:cs="Arial" w:eastAsia="Arial" w:hAnsi="Arial"/>
          <w:sz w:val="16"/>
          <w:szCs w:val="16"/>
          <w:b w:val="1"/>
          <w:bCs w:val="1"/>
          <w:color w:val="auto"/>
        </w:rPr>
        <w:t xml:space="preserve"> </w:t>
      </w:r>
      <w:r>
        <w:rPr>
          <w:rFonts w:ascii="Arial" w:cs="Arial" w:eastAsia="Arial" w:hAnsi="Arial"/>
          <w:sz w:val="16"/>
          <w:szCs w:val="16"/>
          <w:color w:val="auto"/>
        </w:rPr>
        <w:t>of Arias, Fábrega &amp; Fábrega in Panama. Since 2004, Mr. Arango has held several leadership positions in the firm, contributing to shape the organization into a leading Latin-American law firm. Mr. Arango has served as a member of the board of directors of the Panama Canal Authority since 2016 and as a member of the board of directors and audit and compliance committees of Banco General since 2012. Mr. Arango served as a member of the board of directors of Corporación La Prensa and as Chairman of its Editorial Committee. He also served as a member of the board of directors of the Panama Stock Exchange and as its Chairman. Mr. Arango is a member of the Latin American Business Council (CEAL) and represents his firm before Lex Mundi, the largest network of independent law firms in the world. Mr. Arango worked at White &amp; Case in New York. Mr. Arango worked as an associate with Arias, Fábrega &amp; Fábrega in Panama, becoming a partner of the firm in 1995. Mr. Arango’s professional practice focuses on finance, capital markets, banking regulations, corporate governance and compliance, and mergers and acquisitions. During his career, Mr. Arango has acted as lead counsel in some of the largest and most complex financial transactions and acquisitions in Panama and Central America. From 1998 to 1999, Mr. Arango headed the Presidential Commission that drafted Panama’s current securities act. Mr. Arango holds a Bachelor’s degree in Law and Political Science from the University of Panama, a Master of Laws degree from Harvard Law School and a Master of Laws degree from Yale Law School. He was a Fulbright Scholar from 1983 to 1985. Mr. Arango is admitted to practice law in New York and Panama. Mr. Arango’s strong knowledge of the regulatory frameworks under which the Bank operates; skills in managing legal, compliance, operational and credit risks of the banking industry; diversified perspective based on his combined legal/business acumen; in-depth understanding of the Bank’s business and operations; and experience as a board member for different companies, qualify him to serve on the Board.</w:t>
      </w:r>
    </w:p>
    <w:p>
      <w:pPr>
        <w:spacing w:after="0" w:line="215" w:lineRule="exact"/>
        <w:rPr>
          <w:sz w:val="20"/>
          <w:szCs w:val="20"/>
          <w:color w:val="auto"/>
        </w:rPr>
      </w:pPr>
    </w:p>
    <w:p>
      <w:pPr>
        <w:jc w:val="both"/>
        <w:ind w:right="199"/>
        <w:spacing w:after="0" w:line="249" w:lineRule="auto"/>
        <w:rPr>
          <w:sz w:val="20"/>
          <w:szCs w:val="20"/>
          <w:color w:val="auto"/>
        </w:rPr>
      </w:pPr>
      <w:r>
        <w:rPr>
          <w:rFonts w:ascii="Arial" w:cs="Arial" w:eastAsia="Arial" w:hAnsi="Arial"/>
          <w:sz w:val="16"/>
          <w:szCs w:val="16"/>
          <w:b w:val="1"/>
          <w:bCs w:val="1"/>
          <w:color w:val="auto"/>
        </w:rPr>
        <w:t xml:space="preserve">Herminio A. Blanco, </w:t>
      </w:r>
      <w:r>
        <w:rPr>
          <w:rFonts w:ascii="Arial" w:cs="Arial" w:eastAsia="Arial" w:hAnsi="Arial"/>
          <w:sz w:val="16"/>
          <w:szCs w:val="16"/>
          <w:color w:val="auto"/>
        </w:rPr>
        <w:t>Director of the Board since 2004, is President of IQOM since 2005.</w:t>
      </w:r>
      <w:r>
        <w:rPr>
          <w:rFonts w:ascii="Arial" w:cs="Arial" w:eastAsia="Arial" w:hAnsi="Arial"/>
          <w:sz w:val="16"/>
          <w:szCs w:val="16"/>
          <w:b w:val="1"/>
          <w:bCs w:val="1"/>
          <w:color w:val="auto"/>
        </w:rPr>
        <w:t xml:space="preserve"> </w:t>
      </w:r>
      <w:r>
        <w:rPr>
          <w:rFonts w:ascii="Arial" w:cs="Arial" w:eastAsia="Arial" w:hAnsi="Arial"/>
          <w:sz w:val="16"/>
          <w:szCs w:val="16"/>
          <w:color w:val="auto"/>
        </w:rPr>
        <w:t>IQOM offers business solutions on international trade, investment and regulatory affairs. In January 2019 Dr. Blanco and his partners established IQOM Strategic Advisors in Washington D.C. to represent the interests of the Mexican private sector in the United States and to provide strategic intelligence, analysis and lobbying of the United States Congress and the Federal government. Since January 2017, IQOM has been the lead advisor of the Consejo Coordinador Empresarial, the umbrella organization of the Mexican private sector, in the renegotiation of the North American Free Trade Agreement (“NAFTA”). Dr. Blanco has been a member of the board of directors for CYDSA since 2004 and of Fibra Uno since 2011, and he is chairman of Arcelor-Mittal Mexico. He has also been a member of the Trilateral Commission since 2001 and of Science and Technology in Society in Kyoto, Japan. Dr. Blanco served as Secretary of Trade and Industry of Mexico, Undersecretary for International Trade and Negotiations and Chief Negotiator of NAFTA. He was also responsible for the negotiation of the free trade agreement with the European Union, with the European Free Trade Area, with various Latin American countries and with Israel and launched the process that led to the negotiation of the free trade agreement with Japan. Dr. Blanco holds a B.A. in Economics from Instituto Tecnológico de Estudios Superiores de Monterrey, Monterrey Tech, a Ph.D. in economics from University of Chicago, and a Doctor Honoris Causa from Rikkyo University in Japan. Dr. Blanco’s extensive experience and background in foreign trade and finance, along with his academic and consulting skills, qualify him to serve on the Board.</w:t>
      </w:r>
    </w:p>
    <w:p>
      <w:pPr>
        <w:spacing w:after="0" w:line="138" w:lineRule="exact"/>
        <w:rPr>
          <w:sz w:val="20"/>
          <w:szCs w:val="20"/>
          <w:color w:val="auto"/>
        </w:rPr>
      </w:pPr>
    </w:p>
    <w:p>
      <w:pPr>
        <w:jc w:val="both"/>
        <w:ind w:right="199"/>
        <w:spacing w:after="0" w:line="250" w:lineRule="auto"/>
        <w:rPr>
          <w:sz w:val="20"/>
          <w:szCs w:val="20"/>
          <w:color w:val="auto"/>
        </w:rPr>
      </w:pPr>
      <w:r>
        <w:rPr>
          <w:rFonts w:ascii="Arial" w:cs="Arial" w:eastAsia="Arial" w:hAnsi="Arial"/>
          <w:sz w:val="16"/>
          <w:szCs w:val="16"/>
          <w:b w:val="1"/>
          <w:bCs w:val="1"/>
          <w:color w:val="auto"/>
        </w:rPr>
        <w:t xml:space="preserve">Mario Covo, </w:t>
      </w:r>
      <w:r>
        <w:rPr>
          <w:rFonts w:ascii="Arial" w:cs="Arial" w:eastAsia="Arial" w:hAnsi="Arial"/>
          <w:sz w:val="16"/>
          <w:szCs w:val="16"/>
          <w:color w:val="auto"/>
        </w:rPr>
        <w:t>Director of the Board since 1999, is Founding Partner of DanaMar LLC in New</w:t>
      </w:r>
      <w:r>
        <w:rPr>
          <w:rFonts w:ascii="Arial" w:cs="Arial" w:eastAsia="Arial" w:hAnsi="Arial"/>
          <w:sz w:val="16"/>
          <w:szCs w:val="16"/>
          <w:b w:val="1"/>
          <w:bCs w:val="1"/>
          <w:color w:val="auto"/>
        </w:rPr>
        <w:t xml:space="preserve"> </w:t>
      </w:r>
      <w:r>
        <w:rPr>
          <w:rFonts w:ascii="Arial" w:cs="Arial" w:eastAsia="Arial" w:hAnsi="Arial"/>
          <w:sz w:val="16"/>
          <w:szCs w:val="16"/>
          <w:color w:val="auto"/>
        </w:rPr>
        <w:t>York, a financial consulting firm established in 2013, and of Larch Lane Partners, an investment advisory firm established in 2019. He was a Founding Partner of Helios, a Founding Partner of Finaccess International, Inc. and a Founding Partner of Columbus Advisors. Dr. Covo worked at Merrill Lynch, where he was Head of Emerging Markets-Capital Markets. Prior to working for Merrill Lynch, Dr. Covo worked at Bankers Trust Company of New York as Vice President in the Latin American Merchant Banking Group, focusing on corporate finance and debt-for-equity swaps. Prior to that Dr. Covo was an International Economist for Chase Econometrics, focusing primarily on Latin America. Dr. Covo holds a Ph.D. in Economics from Rice University and a B.A. with honors from Instituto Tecnológico Autónomo de Mexico. Dr. Covo’s extensive background and experience in the financial services industry, and his exposure to the markets in which the Bank operates qualify him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-1297305</wp:posOffset>
            </wp:positionH>
            <wp:positionV relativeFrom="paragraph">
              <wp:posOffset>213995</wp:posOffset>
            </wp:positionV>
            <wp:extent cx="5623560" cy="825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3914140</wp:posOffset>
            </wp:positionH>
            <wp:positionV relativeFrom="paragraph">
              <wp:posOffset>299720</wp:posOffset>
            </wp:positionV>
            <wp:extent cx="411480" cy="17970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63" w:lineRule="exact"/>
        <w:rPr>
          <w:sz w:val="20"/>
          <w:szCs w:val="20"/>
          <w:color w:val="auto"/>
        </w:rPr>
      </w:pPr>
    </w:p>
    <w:p>
      <w:pPr>
        <w:sectPr>
          <w:pgSz w:w="11900" w:h="16838" w:orient="portrait"/>
          <w:cols w:equalWidth="0" w:num="2">
            <w:col w:w="1800" w:space="320"/>
            <w:col w:w="6899"/>
          </w:cols>
          <w:pgMar w:left="1440" w:top="281" w:right="1440" w:bottom="1440" w:gutter="0" w:footer="0" w:header="0"/>
          <w:type w:val="continuous"/>
        </w:sectPr>
      </w:pPr>
    </w:p>
    <w:p>
      <w:pPr>
        <w:spacing w:after="0" w:line="224"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14</w:t>
        <w:tab/>
        <w:t>Proxy Statement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type w:val="continuous"/>
        </w:sectPr>
      </w:pPr>
    </w:p>
    <w:bookmarkStart w:id="21" w:name="page22"/>
    <w:bookmarkEnd w:id="21"/>
    <w:p>
      <w:pPr>
        <w:jc w:val="right"/>
        <w:ind w:left="520" w:right="79"/>
        <w:spacing w:after="0" w:line="251" w:lineRule="auto"/>
        <w:rPr>
          <w:sz w:val="20"/>
          <w:szCs w:val="20"/>
          <w:color w:val="auto"/>
        </w:rPr>
      </w:pPr>
      <w:r>
        <w:rPr>
          <w:rFonts w:ascii="Arial" w:cs="Arial" w:eastAsia="Arial" w:hAnsi="Arial"/>
          <w:sz w:val="22"/>
          <w:szCs w:val="22"/>
          <w:color w:val="0065C1"/>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182880</wp:posOffset>
            </wp:positionV>
            <wp:extent cx="5623560" cy="825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159385</wp:posOffset>
            </wp:positionH>
            <wp:positionV relativeFrom="paragraph">
              <wp:posOffset>-1475105</wp:posOffset>
            </wp:positionV>
            <wp:extent cx="1028700" cy="113157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1028700" cy="1131570"/>
                    </a:xfrm>
                    <a:prstGeom prst="rect">
                      <a:avLst/>
                    </a:prstGeom>
                    <a:noFill/>
                  </pic:spPr>
                </pic:pic>
              </a:graphicData>
            </a:graphic>
          </wp:anchor>
        </w:drawing>
      </w:r>
    </w:p>
    <w:p>
      <w:pPr>
        <w:spacing w:after="0" w:line="7" w:lineRule="exact"/>
        <w:rPr>
          <w:sz w:val="20"/>
          <w:szCs w:val="20"/>
          <w:color w:val="auto"/>
        </w:rPr>
      </w:pPr>
    </w:p>
    <w:p>
      <w:pPr>
        <w:ind w:left="26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2017</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45" w:lineRule="exact"/>
        <w:rPr>
          <w:sz w:val="20"/>
          <w:szCs w:val="20"/>
          <w:color w:val="auto"/>
        </w:rPr>
      </w:pPr>
    </w:p>
    <w:p>
      <w:pPr>
        <w:jc w:val="both"/>
        <w:ind w:right="199"/>
        <w:spacing w:after="0" w:line="249" w:lineRule="auto"/>
        <w:rPr>
          <w:sz w:val="20"/>
          <w:szCs w:val="20"/>
          <w:color w:val="auto"/>
        </w:rPr>
      </w:pPr>
      <w:r>
        <w:rPr>
          <w:rFonts w:ascii="Arial" w:cs="Arial" w:eastAsia="Arial" w:hAnsi="Arial"/>
          <w:sz w:val="16"/>
          <w:szCs w:val="16"/>
          <w:b w:val="1"/>
          <w:bCs w:val="1"/>
          <w:color w:val="auto"/>
        </w:rPr>
        <w:t xml:space="preserve">Roland Holst, </w:t>
      </w:r>
      <w:r>
        <w:rPr>
          <w:rFonts w:ascii="Arial" w:cs="Arial" w:eastAsia="Arial" w:hAnsi="Arial"/>
          <w:sz w:val="16"/>
          <w:szCs w:val="16"/>
          <w:color w:val="auto"/>
        </w:rPr>
        <w:t>Director of the Board since 2017, was Treasurer and Member Ex-Officio of the</w:t>
      </w:r>
      <w:r>
        <w:rPr>
          <w:rFonts w:ascii="Arial" w:cs="Arial" w:eastAsia="Arial" w:hAnsi="Arial"/>
          <w:sz w:val="16"/>
          <w:szCs w:val="16"/>
          <w:b w:val="1"/>
          <w:bCs w:val="1"/>
          <w:color w:val="auto"/>
        </w:rPr>
        <w:t xml:space="preserve"> </w:t>
      </w:r>
      <w:r>
        <w:rPr>
          <w:rFonts w:ascii="Arial" w:cs="Arial" w:eastAsia="Arial" w:hAnsi="Arial"/>
          <w:sz w:val="16"/>
          <w:szCs w:val="16"/>
          <w:color w:val="auto"/>
        </w:rPr>
        <w:t>Board from May 2017 to October 2017 and was previously a Board member from 2014 to 2017. Dr. Holst is a board member of Sudameris Bank, Paraguay since 2017 and served as a Director of the Board of Banco Central del Paraguay from 2012 to 2017. He was Head of Fixed Income Research at State Street Global Markets in Boston, Massachusetts and Quantitative Analyst at Starmine Corp. in San Francisco, California. He was a Teaching Assistant of Econometrics, Public Finance, Finance, Program Evaluation, Macroeconomics and Labor Economics at the University of Chicago. Dr. Holst worked at Garantia PFP, a pension fund, as an Investment Manager and was General Manager of Bolsa de Valores de Asunción, Paraguay. He is the author of “Social Security and Policy Risk: Evidence of its effects on welfare costs and savings” published in 2007. Dr. Holst holds a Ph.D. in Public Policy and a Master in Economics from the University of Chicago. He also holds a Master in Economics from Universidad Católica de Asunción, Paraguay, degrees in Economics and Agronomy from Universidad Nacional de Asunción, Paraguay and a Financial Risk Manager (FRM) certification. Mr. Holst’s professional experience in the fields of finance and economics and his academic accomplishments qualify him to serve on the Board.</w:t>
      </w:r>
    </w:p>
    <w:p>
      <w:pPr>
        <w:spacing w:after="0" w:line="200" w:lineRule="exact"/>
        <w:rPr>
          <w:sz w:val="20"/>
          <w:szCs w:val="20"/>
          <w:color w:val="auto"/>
        </w:rPr>
      </w:pPr>
    </w:p>
    <w:p>
      <w:pPr>
        <w:sectPr>
          <w:pgSz w:w="11900" w:h="16838" w:orient="portrait"/>
          <w:cols w:equalWidth="0" w:num="2">
            <w:col w:w="1800" w:space="320"/>
            <w:col w:w="6899"/>
          </w:cols>
          <w:pgMar w:left="1440" w:top="281" w:right="1440" w:bottom="1440" w:gutter="0" w:footer="0" w:header="0"/>
          <w:type w:val="continuous"/>
        </w:sectPr>
      </w:pPr>
    </w:p>
    <w:p>
      <w:pPr>
        <w:spacing w:after="0" w:line="91"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Information regarding Non-Executive Officers of the Board (“Dignatarios”)</w:t>
      </w:r>
    </w:p>
    <w:p>
      <w:pPr>
        <w:spacing w:after="0" w:line="152" w:lineRule="exact"/>
        <w:rPr>
          <w:sz w:val="20"/>
          <w:szCs w:val="20"/>
          <w:color w:val="auto"/>
        </w:rPr>
      </w:pPr>
    </w:p>
    <w:p>
      <w:pPr>
        <w:jc w:val="both"/>
        <w:ind w:left="80" w:right="99"/>
        <w:spacing w:after="0" w:line="248" w:lineRule="auto"/>
        <w:rPr>
          <w:sz w:val="20"/>
          <w:szCs w:val="20"/>
          <w:color w:val="auto"/>
        </w:rPr>
      </w:pPr>
      <w:r>
        <w:rPr>
          <w:rFonts w:ascii="Arial" w:cs="Arial" w:eastAsia="Arial" w:hAnsi="Arial"/>
          <w:sz w:val="18"/>
          <w:szCs w:val="18"/>
          <w:color w:val="auto"/>
        </w:rPr>
        <w:t>The following table sets forth the names, countries of citizenship and ages of the Board’s non-executive officers (“dignatarios</w:t>
      </w:r>
      <w:r>
        <w:rPr>
          <w:rFonts w:ascii="Arial" w:cs="Arial" w:eastAsia="Arial" w:hAnsi="Arial"/>
          <w:sz w:val="18"/>
          <w:szCs w:val="18"/>
          <w:i w:val="1"/>
          <w:iCs w:val="1"/>
          <w:color w:val="auto"/>
        </w:rPr>
        <w:t>”)</w:t>
      </w:r>
      <w:r>
        <w:rPr>
          <w:rFonts w:ascii="Arial" w:cs="Arial" w:eastAsia="Arial" w:hAnsi="Arial"/>
          <w:sz w:val="18"/>
          <w:szCs w:val="18"/>
          <w:color w:val="auto"/>
        </w:rPr>
        <w:t xml:space="preserve"> and their current office or position with other institutions. Dignatarios are elected annually by the Board. Dignatarios attend meetings of the Board, participate in discussions and offer advice and counsel to the Board, but do not have the power to vote (unless they also are directors of the Bank).</w:t>
      </w:r>
    </w:p>
    <w:p>
      <w:pPr>
        <w:spacing w:after="0" w:line="45" w:lineRule="exact"/>
        <w:rPr>
          <w:sz w:val="20"/>
          <w:szCs w:val="20"/>
          <w:color w:val="auto"/>
        </w:rPr>
      </w:pPr>
    </w:p>
    <w:tbl>
      <w:tblPr>
        <w:tblLayout w:type="fixed"/>
        <w:tblInd w:w="80" w:type="dxa"/>
        <w:tblCellMar>
          <w:top w:w="0" w:type="dxa"/>
          <w:left w:w="0" w:type="dxa"/>
          <w:bottom w:w="0" w:type="dxa"/>
          <w:right w:w="0" w:type="dxa"/>
        </w:tblCellMar>
      </w:tblPr>
      <w:tr>
        <w:trPr>
          <w:trHeight w:val="279"/>
        </w:trPr>
        <w:tc>
          <w:tcPr>
            <w:tcW w:w="5400" w:type="dxa"/>
            <w:vAlign w:val="bottom"/>
            <w:shd w:val="clear" w:color="auto" w:fill="0065C1"/>
          </w:tcPr>
          <w:p>
            <w:pPr>
              <w:spacing w:after="0"/>
              <w:rPr>
                <w:sz w:val="24"/>
                <w:szCs w:val="24"/>
                <w:color w:val="auto"/>
              </w:rPr>
            </w:pPr>
          </w:p>
        </w:tc>
        <w:tc>
          <w:tcPr>
            <w:tcW w:w="1040" w:type="dxa"/>
            <w:vAlign w:val="bottom"/>
            <w:vMerge w:val="restart"/>
            <w:shd w:val="clear" w:color="auto" w:fill="0065C1"/>
          </w:tcPr>
          <w:p>
            <w:pPr>
              <w:jc w:val="center"/>
              <w:spacing w:after="0"/>
              <w:rPr>
                <w:sz w:val="20"/>
                <w:szCs w:val="20"/>
                <w:color w:val="auto"/>
              </w:rPr>
            </w:pPr>
            <w:r>
              <w:rPr>
                <w:rFonts w:ascii="Arial" w:cs="Arial" w:eastAsia="Arial" w:hAnsi="Arial"/>
                <w:sz w:val="16"/>
                <w:szCs w:val="16"/>
                <w:b w:val="1"/>
                <w:bCs w:val="1"/>
                <w:color w:val="FFFFFF"/>
                <w:w w:val="98"/>
              </w:rPr>
              <w:t>Country of</w:t>
            </w:r>
          </w:p>
        </w:tc>
        <w:tc>
          <w:tcPr>
            <w:tcW w:w="196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Position held by</w:t>
            </w:r>
          </w:p>
        </w:tc>
        <w:tc>
          <w:tcPr>
            <w:tcW w:w="460" w:type="dxa"/>
            <w:vAlign w:val="bottom"/>
            <w:shd w:val="clear" w:color="auto" w:fill="0065C1"/>
          </w:tcPr>
          <w:p>
            <w:pPr>
              <w:spacing w:after="0"/>
              <w:rPr>
                <w:sz w:val="24"/>
                <w:szCs w:val="24"/>
                <w:color w:val="auto"/>
              </w:rPr>
            </w:pPr>
          </w:p>
        </w:tc>
        <w:tc>
          <w:tcPr>
            <w:tcW w:w="0" w:type="dxa"/>
            <w:vAlign w:val="bottom"/>
          </w:tcPr>
          <w:p>
            <w:pPr>
              <w:spacing w:after="0"/>
              <w:rPr>
                <w:sz w:val="1"/>
                <w:szCs w:val="1"/>
                <w:color w:val="auto"/>
              </w:rPr>
            </w:pPr>
          </w:p>
        </w:tc>
      </w:tr>
      <w:tr>
        <w:trPr>
          <w:trHeight w:val="187"/>
        </w:trPr>
        <w:tc>
          <w:tcPr>
            <w:tcW w:w="5400" w:type="dxa"/>
            <w:vAlign w:val="bottom"/>
            <w:shd w:val="clear" w:color="auto" w:fill="0065C1"/>
          </w:tcPr>
          <w:p>
            <w:pPr>
              <w:spacing w:after="0"/>
              <w:rPr>
                <w:sz w:val="16"/>
                <w:szCs w:val="16"/>
                <w:color w:val="auto"/>
              </w:rPr>
            </w:pPr>
          </w:p>
        </w:tc>
        <w:tc>
          <w:tcPr>
            <w:tcW w:w="1040" w:type="dxa"/>
            <w:vAlign w:val="bottom"/>
            <w:vMerge w:val="continue"/>
            <w:shd w:val="clear" w:color="auto" w:fill="0065C1"/>
          </w:tcPr>
          <w:p>
            <w:pPr>
              <w:spacing w:after="0"/>
              <w:rPr>
                <w:sz w:val="16"/>
                <w:szCs w:val="16"/>
                <w:color w:val="auto"/>
              </w:rPr>
            </w:pPr>
          </w:p>
        </w:tc>
        <w:tc>
          <w:tcPr>
            <w:tcW w:w="1960" w:type="dxa"/>
            <w:vAlign w:val="bottom"/>
            <w:shd w:val="clear" w:color="auto" w:fill="0065C1"/>
          </w:tcPr>
          <w:p>
            <w:pPr>
              <w:jc w:val="center"/>
              <w:spacing w:after="0"/>
              <w:rPr>
                <w:sz w:val="20"/>
                <w:szCs w:val="20"/>
                <w:color w:val="auto"/>
              </w:rPr>
            </w:pPr>
            <w:r>
              <w:rPr>
                <w:rFonts w:ascii="Arial" w:cs="Arial" w:eastAsia="Arial" w:hAnsi="Arial"/>
                <w:sz w:val="16"/>
                <w:szCs w:val="16"/>
                <w:b w:val="1"/>
                <w:bCs w:val="1"/>
                <w:i w:val="1"/>
                <w:iCs w:val="1"/>
                <w:color w:val="FFFFFF"/>
              </w:rPr>
              <w:t>Dignatario</w:t>
            </w:r>
          </w:p>
        </w:tc>
        <w:tc>
          <w:tcPr>
            <w:tcW w:w="460" w:type="dxa"/>
            <w:vAlign w:val="bottom"/>
            <w:shd w:val="clear" w:color="auto" w:fill="0065C1"/>
          </w:tcPr>
          <w:p>
            <w:pPr>
              <w:spacing w:after="0"/>
              <w:rPr>
                <w:sz w:val="16"/>
                <w:szCs w:val="16"/>
                <w:color w:val="auto"/>
              </w:rPr>
            </w:pPr>
          </w:p>
        </w:tc>
        <w:tc>
          <w:tcPr>
            <w:tcW w:w="0" w:type="dxa"/>
            <w:vAlign w:val="bottom"/>
          </w:tcPr>
          <w:p>
            <w:pPr>
              <w:spacing w:after="0"/>
              <w:rPr>
                <w:sz w:val="1"/>
                <w:szCs w:val="1"/>
                <w:color w:val="auto"/>
              </w:rPr>
            </w:pPr>
          </w:p>
        </w:tc>
      </w:tr>
      <w:tr>
        <w:trPr>
          <w:trHeight w:val="229"/>
        </w:trPr>
        <w:tc>
          <w:tcPr>
            <w:tcW w:w="5400" w:type="dxa"/>
            <w:vAlign w:val="bottom"/>
            <w:shd w:val="clear" w:color="auto" w:fill="0065C1"/>
          </w:tcPr>
          <w:p>
            <w:pPr>
              <w:ind w:left="80"/>
              <w:spacing w:after="0"/>
              <w:rPr>
                <w:sz w:val="20"/>
                <w:szCs w:val="20"/>
                <w:color w:val="auto"/>
              </w:rPr>
            </w:pPr>
            <w:r>
              <w:rPr>
                <w:rFonts w:ascii="Arial" w:cs="Arial" w:eastAsia="Arial" w:hAnsi="Arial"/>
                <w:sz w:val="16"/>
                <w:szCs w:val="16"/>
                <w:b w:val="1"/>
                <w:bCs w:val="1"/>
                <w:color w:val="FFFFFF"/>
              </w:rPr>
              <w:t>Name</w:t>
            </w:r>
          </w:p>
        </w:tc>
        <w:tc>
          <w:tcPr>
            <w:tcW w:w="104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Citizenship</w:t>
            </w:r>
          </w:p>
        </w:tc>
        <w:tc>
          <w:tcPr>
            <w:tcW w:w="1960" w:type="dxa"/>
            <w:vAlign w:val="bottom"/>
            <w:shd w:val="clear" w:color="auto" w:fill="0065C1"/>
          </w:tcPr>
          <w:p>
            <w:pPr>
              <w:jc w:val="center"/>
              <w:spacing w:after="0"/>
              <w:rPr>
                <w:sz w:val="20"/>
                <w:szCs w:val="20"/>
                <w:color w:val="auto"/>
              </w:rPr>
            </w:pPr>
            <w:r>
              <w:rPr>
                <w:rFonts w:ascii="Arial" w:cs="Arial" w:eastAsia="Arial" w:hAnsi="Arial"/>
                <w:sz w:val="16"/>
                <w:szCs w:val="16"/>
                <w:color w:val="FFFFFF"/>
              </w:rPr>
              <w:t>with the Bank</w:t>
            </w:r>
          </w:p>
        </w:tc>
        <w:tc>
          <w:tcPr>
            <w:tcW w:w="46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Age</w:t>
            </w:r>
          </w:p>
        </w:tc>
        <w:tc>
          <w:tcPr>
            <w:tcW w:w="0" w:type="dxa"/>
            <w:vAlign w:val="bottom"/>
          </w:tcPr>
          <w:p>
            <w:pPr>
              <w:spacing w:after="0"/>
              <w:rPr>
                <w:sz w:val="1"/>
                <w:szCs w:val="1"/>
                <w:color w:val="auto"/>
              </w:rPr>
            </w:pPr>
          </w:p>
        </w:tc>
      </w:tr>
      <w:tr>
        <w:trPr>
          <w:trHeight w:val="75"/>
        </w:trPr>
        <w:tc>
          <w:tcPr>
            <w:tcW w:w="5400" w:type="dxa"/>
            <w:vAlign w:val="bottom"/>
            <w:shd w:val="clear" w:color="auto" w:fill="0065C1"/>
          </w:tcPr>
          <w:p>
            <w:pPr>
              <w:spacing w:after="0"/>
              <w:rPr>
                <w:sz w:val="6"/>
                <w:szCs w:val="6"/>
                <w:color w:val="auto"/>
              </w:rPr>
            </w:pPr>
          </w:p>
        </w:tc>
        <w:tc>
          <w:tcPr>
            <w:tcW w:w="1040" w:type="dxa"/>
            <w:vAlign w:val="bottom"/>
            <w:shd w:val="clear" w:color="auto" w:fill="0065C1"/>
          </w:tcPr>
          <w:p>
            <w:pPr>
              <w:spacing w:after="0"/>
              <w:rPr>
                <w:sz w:val="6"/>
                <w:szCs w:val="6"/>
                <w:color w:val="auto"/>
              </w:rPr>
            </w:pPr>
          </w:p>
        </w:tc>
        <w:tc>
          <w:tcPr>
            <w:tcW w:w="1960" w:type="dxa"/>
            <w:vAlign w:val="bottom"/>
            <w:shd w:val="clear" w:color="auto" w:fill="0065C1"/>
          </w:tcPr>
          <w:p>
            <w:pPr>
              <w:spacing w:after="0"/>
              <w:rPr>
                <w:sz w:val="6"/>
                <w:szCs w:val="6"/>
                <w:color w:val="auto"/>
              </w:rPr>
            </w:pPr>
          </w:p>
        </w:tc>
        <w:tc>
          <w:tcPr>
            <w:tcW w:w="460" w:type="dxa"/>
            <w:vAlign w:val="bottom"/>
            <w:shd w:val="clear" w:color="auto" w:fill="0065C1"/>
          </w:tcPr>
          <w:p>
            <w:pPr>
              <w:spacing w:after="0"/>
              <w:rPr>
                <w:sz w:val="6"/>
                <w:szCs w:val="6"/>
                <w:color w:val="auto"/>
              </w:rPr>
            </w:pPr>
          </w:p>
        </w:tc>
        <w:tc>
          <w:tcPr>
            <w:tcW w:w="0" w:type="dxa"/>
            <w:vAlign w:val="bottom"/>
          </w:tcPr>
          <w:p>
            <w:pPr>
              <w:spacing w:after="0"/>
              <w:rPr>
                <w:sz w:val="1"/>
                <w:szCs w:val="1"/>
                <w:color w:val="auto"/>
              </w:rPr>
            </w:pPr>
          </w:p>
        </w:tc>
      </w:tr>
      <w:tr>
        <w:trPr>
          <w:trHeight w:val="301"/>
        </w:trPr>
        <w:tc>
          <w:tcPr>
            <w:tcW w:w="5400" w:type="dxa"/>
            <w:vAlign w:val="bottom"/>
            <w:shd w:val="clear" w:color="auto" w:fill="D7E7F5"/>
          </w:tcPr>
          <w:p>
            <w:pPr>
              <w:ind w:left="80"/>
              <w:spacing w:after="0"/>
              <w:rPr>
                <w:sz w:val="20"/>
                <w:szCs w:val="20"/>
                <w:color w:val="auto"/>
              </w:rPr>
            </w:pPr>
            <w:r>
              <w:rPr>
                <w:rFonts w:ascii="Arial" w:cs="Arial" w:eastAsia="Arial" w:hAnsi="Arial"/>
                <w:sz w:val="18"/>
                <w:szCs w:val="18"/>
                <w:color w:val="auto"/>
              </w:rPr>
              <w:t>Miguel Heras Castro*</w:t>
            </w:r>
          </w:p>
        </w:tc>
        <w:tc>
          <w:tcPr>
            <w:tcW w:w="1040" w:type="dxa"/>
            <w:vAlign w:val="bottom"/>
            <w:shd w:val="clear" w:color="auto" w:fill="D7E7F5"/>
          </w:tcPr>
          <w:p>
            <w:pPr>
              <w:spacing w:after="0"/>
              <w:rPr>
                <w:sz w:val="24"/>
                <w:szCs w:val="24"/>
                <w:color w:val="auto"/>
              </w:rPr>
            </w:pPr>
          </w:p>
        </w:tc>
        <w:tc>
          <w:tcPr>
            <w:tcW w:w="1960" w:type="dxa"/>
            <w:vAlign w:val="bottom"/>
            <w:shd w:val="clear" w:color="auto" w:fill="D7E7F5"/>
          </w:tcPr>
          <w:p>
            <w:pPr>
              <w:spacing w:after="0"/>
              <w:rPr>
                <w:sz w:val="24"/>
                <w:szCs w:val="24"/>
                <w:color w:val="auto"/>
              </w:rPr>
            </w:pPr>
          </w:p>
        </w:tc>
        <w:tc>
          <w:tcPr>
            <w:tcW w:w="460" w:type="dxa"/>
            <w:vAlign w:val="bottom"/>
            <w:shd w:val="clear" w:color="auto" w:fill="D7E7F5"/>
          </w:tcPr>
          <w:p>
            <w:pPr>
              <w:spacing w:after="0"/>
              <w:rPr>
                <w:sz w:val="24"/>
                <w:szCs w:val="24"/>
                <w:color w:val="auto"/>
              </w:rPr>
            </w:pPr>
          </w:p>
        </w:tc>
        <w:tc>
          <w:tcPr>
            <w:tcW w:w="0" w:type="dxa"/>
            <w:vAlign w:val="bottom"/>
          </w:tcPr>
          <w:p>
            <w:pPr>
              <w:spacing w:after="0"/>
              <w:rPr>
                <w:sz w:val="1"/>
                <w:szCs w:val="1"/>
                <w:color w:val="auto"/>
              </w:rPr>
            </w:pPr>
          </w:p>
        </w:tc>
      </w:tr>
      <w:tr>
        <w:trPr>
          <w:trHeight w:val="364"/>
        </w:trPr>
        <w:tc>
          <w:tcPr>
            <w:tcW w:w="5400" w:type="dxa"/>
            <w:vAlign w:val="bottom"/>
            <w:shd w:val="clear" w:color="auto" w:fill="D7E7F5"/>
          </w:tcPr>
          <w:p>
            <w:pPr>
              <w:ind w:left="80"/>
              <w:spacing w:after="0"/>
              <w:rPr>
                <w:sz w:val="20"/>
                <w:szCs w:val="20"/>
                <w:color w:val="auto"/>
              </w:rPr>
            </w:pPr>
            <w:r>
              <w:rPr>
                <w:rFonts w:ascii="Arial" w:cs="Arial" w:eastAsia="Arial" w:hAnsi="Arial"/>
                <w:sz w:val="18"/>
                <w:szCs w:val="18"/>
                <w:color w:val="auto"/>
              </w:rPr>
              <w:t>Managing Director</w:t>
            </w:r>
          </w:p>
        </w:tc>
        <w:tc>
          <w:tcPr>
            <w:tcW w:w="1040" w:type="dxa"/>
            <w:vAlign w:val="bottom"/>
            <w:shd w:val="clear" w:color="auto" w:fill="D7E7F5"/>
          </w:tcPr>
          <w:p>
            <w:pPr>
              <w:spacing w:after="0"/>
              <w:rPr>
                <w:sz w:val="24"/>
                <w:szCs w:val="24"/>
                <w:color w:val="auto"/>
              </w:rPr>
            </w:pPr>
          </w:p>
        </w:tc>
        <w:tc>
          <w:tcPr>
            <w:tcW w:w="1960" w:type="dxa"/>
            <w:vAlign w:val="bottom"/>
            <w:shd w:val="clear" w:color="auto" w:fill="D7E7F5"/>
          </w:tcPr>
          <w:p>
            <w:pPr>
              <w:spacing w:after="0"/>
              <w:rPr>
                <w:sz w:val="24"/>
                <w:szCs w:val="24"/>
                <w:color w:val="auto"/>
              </w:rPr>
            </w:pPr>
          </w:p>
        </w:tc>
        <w:tc>
          <w:tcPr>
            <w:tcW w:w="460" w:type="dxa"/>
            <w:vAlign w:val="bottom"/>
            <w:shd w:val="clear" w:color="auto" w:fill="D7E7F5"/>
          </w:tcPr>
          <w:p>
            <w:pPr>
              <w:spacing w:after="0"/>
              <w:rPr>
                <w:sz w:val="24"/>
                <w:szCs w:val="24"/>
                <w:color w:val="auto"/>
              </w:rPr>
            </w:pPr>
          </w:p>
        </w:tc>
        <w:tc>
          <w:tcPr>
            <w:tcW w:w="0" w:type="dxa"/>
            <w:vAlign w:val="bottom"/>
          </w:tcPr>
          <w:p>
            <w:pPr>
              <w:spacing w:after="0"/>
              <w:rPr>
                <w:sz w:val="1"/>
                <w:szCs w:val="1"/>
                <w:color w:val="auto"/>
              </w:rPr>
            </w:pPr>
          </w:p>
        </w:tc>
      </w:tr>
      <w:tr>
        <w:trPr>
          <w:trHeight w:val="365"/>
        </w:trPr>
        <w:tc>
          <w:tcPr>
            <w:tcW w:w="5400" w:type="dxa"/>
            <w:vAlign w:val="bottom"/>
            <w:shd w:val="clear" w:color="auto" w:fill="D7E7F5"/>
          </w:tcPr>
          <w:p>
            <w:pPr>
              <w:ind w:left="80"/>
              <w:spacing w:after="0"/>
              <w:rPr>
                <w:sz w:val="20"/>
                <w:szCs w:val="20"/>
                <w:color w:val="auto"/>
              </w:rPr>
            </w:pPr>
            <w:r>
              <w:rPr>
                <w:rFonts w:ascii="Arial" w:cs="Arial" w:eastAsia="Arial" w:hAnsi="Arial"/>
                <w:sz w:val="18"/>
                <w:szCs w:val="18"/>
                <w:color w:val="auto"/>
              </w:rPr>
              <w:t>Inversiones Bahia Ltd., Panama</w:t>
            </w:r>
          </w:p>
        </w:tc>
        <w:tc>
          <w:tcPr>
            <w:tcW w:w="1040" w:type="dxa"/>
            <w:vAlign w:val="bottom"/>
            <w:shd w:val="clear" w:color="auto" w:fill="D7E7F5"/>
          </w:tcPr>
          <w:p>
            <w:pPr>
              <w:jc w:val="center"/>
              <w:spacing w:after="0"/>
              <w:rPr>
                <w:sz w:val="20"/>
                <w:szCs w:val="20"/>
                <w:color w:val="auto"/>
              </w:rPr>
            </w:pPr>
            <w:r>
              <w:rPr>
                <w:rFonts w:ascii="Arial" w:cs="Arial" w:eastAsia="Arial" w:hAnsi="Arial"/>
                <w:sz w:val="18"/>
                <w:szCs w:val="18"/>
                <w:color w:val="auto"/>
              </w:rPr>
              <w:t>Panama</w:t>
            </w:r>
          </w:p>
        </w:tc>
        <w:tc>
          <w:tcPr>
            <w:tcW w:w="1960" w:type="dxa"/>
            <w:vAlign w:val="bottom"/>
            <w:shd w:val="clear" w:color="auto" w:fill="D7E7F5"/>
          </w:tcPr>
          <w:p>
            <w:pPr>
              <w:jc w:val="center"/>
              <w:spacing w:after="0"/>
              <w:rPr>
                <w:sz w:val="20"/>
                <w:szCs w:val="20"/>
                <w:color w:val="auto"/>
              </w:rPr>
            </w:pPr>
            <w:r>
              <w:rPr>
                <w:rFonts w:ascii="Arial" w:cs="Arial" w:eastAsia="Arial" w:hAnsi="Arial"/>
                <w:sz w:val="18"/>
                <w:szCs w:val="18"/>
                <w:color w:val="auto"/>
              </w:rPr>
              <w:t>Chairman of the Board</w:t>
            </w:r>
          </w:p>
        </w:tc>
        <w:tc>
          <w:tcPr>
            <w:tcW w:w="46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52</w:t>
            </w:r>
          </w:p>
        </w:tc>
        <w:tc>
          <w:tcPr>
            <w:tcW w:w="0" w:type="dxa"/>
            <w:vAlign w:val="bottom"/>
          </w:tcPr>
          <w:p>
            <w:pPr>
              <w:spacing w:after="0"/>
              <w:rPr>
                <w:sz w:val="1"/>
                <w:szCs w:val="1"/>
                <w:color w:val="auto"/>
              </w:rPr>
            </w:pPr>
          </w:p>
        </w:tc>
      </w:tr>
      <w:tr>
        <w:trPr>
          <w:trHeight w:val="64"/>
        </w:trPr>
        <w:tc>
          <w:tcPr>
            <w:tcW w:w="5400" w:type="dxa"/>
            <w:vAlign w:val="bottom"/>
            <w:shd w:val="clear" w:color="auto" w:fill="D7E7F5"/>
          </w:tcPr>
          <w:p>
            <w:pPr>
              <w:spacing w:after="0"/>
              <w:rPr>
                <w:sz w:val="5"/>
                <w:szCs w:val="5"/>
                <w:color w:val="auto"/>
              </w:rPr>
            </w:pPr>
          </w:p>
        </w:tc>
        <w:tc>
          <w:tcPr>
            <w:tcW w:w="1040" w:type="dxa"/>
            <w:vAlign w:val="bottom"/>
            <w:shd w:val="clear" w:color="auto" w:fill="D7E7F5"/>
          </w:tcPr>
          <w:p>
            <w:pPr>
              <w:spacing w:after="0"/>
              <w:rPr>
                <w:sz w:val="5"/>
                <w:szCs w:val="5"/>
                <w:color w:val="auto"/>
              </w:rPr>
            </w:pPr>
          </w:p>
        </w:tc>
        <w:tc>
          <w:tcPr>
            <w:tcW w:w="1960" w:type="dxa"/>
            <w:vAlign w:val="bottom"/>
            <w:shd w:val="clear" w:color="auto" w:fill="D7E7F5"/>
          </w:tcPr>
          <w:p>
            <w:pPr>
              <w:spacing w:after="0"/>
              <w:rPr>
                <w:sz w:val="5"/>
                <w:szCs w:val="5"/>
                <w:color w:val="auto"/>
              </w:rPr>
            </w:pPr>
          </w:p>
        </w:tc>
        <w:tc>
          <w:tcPr>
            <w:tcW w:w="460" w:type="dxa"/>
            <w:vAlign w:val="bottom"/>
            <w:shd w:val="clear" w:color="auto" w:fill="D7E7F5"/>
          </w:tcPr>
          <w:p>
            <w:pPr>
              <w:spacing w:after="0"/>
              <w:rPr>
                <w:sz w:val="5"/>
                <w:szCs w:val="5"/>
                <w:color w:val="auto"/>
              </w:rPr>
            </w:pPr>
          </w:p>
        </w:tc>
        <w:tc>
          <w:tcPr>
            <w:tcW w:w="0" w:type="dxa"/>
            <w:vAlign w:val="bottom"/>
          </w:tcPr>
          <w:p>
            <w:pPr>
              <w:spacing w:after="0"/>
              <w:rPr>
                <w:sz w:val="1"/>
                <w:szCs w:val="1"/>
                <w:color w:val="auto"/>
              </w:rPr>
            </w:pPr>
          </w:p>
        </w:tc>
      </w:tr>
      <w:tr>
        <w:trPr>
          <w:trHeight w:val="364"/>
        </w:trPr>
        <w:tc>
          <w:tcPr>
            <w:tcW w:w="54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9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1"/>
        </w:trPr>
        <w:tc>
          <w:tcPr>
            <w:tcW w:w="5400" w:type="dxa"/>
            <w:vAlign w:val="bottom"/>
            <w:shd w:val="clear" w:color="auto" w:fill="D7E7F5"/>
          </w:tcPr>
          <w:p>
            <w:pPr>
              <w:ind w:left="80"/>
              <w:spacing w:after="0"/>
              <w:rPr>
                <w:sz w:val="20"/>
                <w:szCs w:val="20"/>
                <w:color w:val="auto"/>
              </w:rPr>
            </w:pPr>
            <w:r>
              <w:rPr>
                <w:rFonts w:ascii="Arial" w:cs="Arial" w:eastAsia="Arial" w:hAnsi="Arial"/>
                <w:sz w:val="18"/>
                <w:szCs w:val="18"/>
                <w:color w:val="auto"/>
              </w:rPr>
              <w:t>Roland Holst*</w:t>
            </w:r>
          </w:p>
        </w:tc>
        <w:tc>
          <w:tcPr>
            <w:tcW w:w="1040" w:type="dxa"/>
            <w:vAlign w:val="bottom"/>
            <w:shd w:val="clear" w:color="auto" w:fill="D7E7F5"/>
          </w:tcPr>
          <w:p>
            <w:pPr>
              <w:spacing w:after="0"/>
              <w:rPr>
                <w:sz w:val="24"/>
                <w:szCs w:val="24"/>
                <w:color w:val="auto"/>
              </w:rPr>
            </w:pPr>
          </w:p>
        </w:tc>
        <w:tc>
          <w:tcPr>
            <w:tcW w:w="1960" w:type="dxa"/>
            <w:vAlign w:val="bottom"/>
            <w:shd w:val="clear" w:color="auto" w:fill="D7E7F5"/>
          </w:tcPr>
          <w:p>
            <w:pPr>
              <w:spacing w:after="0"/>
              <w:rPr>
                <w:sz w:val="24"/>
                <w:szCs w:val="24"/>
                <w:color w:val="auto"/>
              </w:rPr>
            </w:pPr>
          </w:p>
        </w:tc>
        <w:tc>
          <w:tcPr>
            <w:tcW w:w="460" w:type="dxa"/>
            <w:vAlign w:val="bottom"/>
            <w:shd w:val="clear" w:color="auto" w:fill="D7E7F5"/>
          </w:tcPr>
          <w:p>
            <w:pPr>
              <w:spacing w:after="0"/>
              <w:rPr>
                <w:sz w:val="24"/>
                <w:szCs w:val="24"/>
                <w:color w:val="auto"/>
              </w:rPr>
            </w:pPr>
          </w:p>
        </w:tc>
        <w:tc>
          <w:tcPr>
            <w:tcW w:w="0" w:type="dxa"/>
            <w:vAlign w:val="bottom"/>
          </w:tcPr>
          <w:p>
            <w:pPr>
              <w:spacing w:after="0"/>
              <w:rPr>
                <w:sz w:val="1"/>
                <w:szCs w:val="1"/>
                <w:color w:val="auto"/>
              </w:rPr>
            </w:pPr>
          </w:p>
        </w:tc>
      </w:tr>
      <w:tr>
        <w:trPr>
          <w:trHeight w:val="364"/>
        </w:trPr>
        <w:tc>
          <w:tcPr>
            <w:tcW w:w="5400" w:type="dxa"/>
            <w:vAlign w:val="bottom"/>
            <w:shd w:val="clear" w:color="auto" w:fill="D7E7F5"/>
          </w:tcPr>
          <w:p>
            <w:pPr>
              <w:ind w:left="80"/>
              <w:spacing w:after="0"/>
              <w:rPr>
                <w:sz w:val="20"/>
                <w:szCs w:val="20"/>
                <w:color w:val="auto"/>
              </w:rPr>
            </w:pPr>
            <w:r>
              <w:rPr>
                <w:rFonts w:ascii="Arial" w:cs="Arial" w:eastAsia="Arial" w:hAnsi="Arial"/>
                <w:sz w:val="18"/>
                <w:szCs w:val="18"/>
                <w:color w:val="auto"/>
              </w:rPr>
              <w:t>Board Member</w:t>
            </w:r>
          </w:p>
        </w:tc>
        <w:tc>
          <w:tcPr>
            <w:tcW w:w="1040" w:type="dxa"/>
            <w:vAlign w:val="bottom"/>
            <w:shd w:val="clear" w:color="auto" w:fill="D7E7F5"/>
          </w:tcPr>
          <w:p>
            <w:pPr>
              <w:spacing w:after="0"/>
              <w:rPr>
                <w:sz w:val="24"/>
                <w:szCs w:val="24"/>
                <w:color w:val="auto"/>
              </w:rPr>
            </w:pPr>
          </w:p>
        </w:tc>
        <w:tc>
          <w:tcPr>
            <w:tcW w:w="1960" w:type="dxa"/>
            <w:vAlign w:val="bottom"/>
            <w:shd w:val="clear" w:color="auto" w:fill="D7E7F5"/>
          </w:tcPr>
          <w:p>
            <w:pPr>
              <w:spacing w:after="0"/>
              <w:rPr>
                <w:sz w:val="24"/>
                <w:szCs w:val="24"/>
                <w:color w:val="auto"/>
              </w:rPr>
            </w:pPr>
          </w:p>
        </w:tc>
        <w:tc>
          <w:tcPr>
            <w:tcW w:w="460" w:type="dxa"/>
            <w:vAlign w:val="bottom"/>
            <w:shd w:val="clear" w:color="auto" w:fill="D7E7F5"/>
          </w:tcPr>
          <w:p>
            <w:pPr>
              <w:spacing w:after="0"/>
              <w:rPr>
                <w:sz w:val="24"/>
                <w:szCs w:val="24"/>
                <w:color w:val="auto"/>
              </w:rPr>
            </w:pPr>
          </w:p>
        </w:tc>
        <w:tc>
          <w:tcPr>
            <w:tcW w:w="0" w:type="dxa"/>
            <w:vAlign w:val="bottom"/>
          </w:tcPr>
          <w:p>
            <w:pPr>
              <w:spacing w:after="0"/>
              <w:rPr>
                <w:sz w:val="1"/>
                <w:szCs w:val="1"/>
                <w:color w:val="auto"/>
              </w:rPr>
            </w:pPr>
          </w:p>
        </w:tc>
      </w:tr>
      <w:tr>
        <w:trPr>
          <w:trHeight w:val="365"/>
        </w:trPr>
        <w:tc>
          <w:tcPr>
            <w:tcW w:w="5400" w:type="dxa"/>
            <w:vAlign w:val="bottom"/>
            <w:shd w:val="clear" w:color="auto" w:fill="D7E7F5"/>
          </w:tcPr>
          <w:p>
            <w:pPr>
              <w:ind w:left="80"/>
              <w:spacing w:after="0"/>
              <w:rPr>
                <w:sz w:val="20"/>
                <w:szCs w:val="20"/>
                <w:color w:val="auto"/>
              </w:rPr>
            </w:pPr>
            <w:r>
              <w:rPr>
                <w:rFonts w:ascii="Arial" w:cs="Arial" w:eastAsia="Arial" w:hAnsi="Arial"/>
                <w:sz w:val="18"/>
                <w:szCs w:val="18"/>
                <w:color w:val="auto"/>
              </w:rPr>
              <w:t>Sudameris Bank, Paraguay</w:t>
            </w:r>
          </w:p>
        </w:tc>
        <w:tc>
          <w:tcPr>
            <w:tcW w:w="104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8"/>
              </w:rPr>
              <w:t>Paraguay</w:t>
            </w:r>
          </w:p>
        </w:tc>
        <w:tc>
          <w:tcPr>
            <w:tcW w:w="196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Treasurer</w:t>
            </w:r>
          </w:p>
        </w:tc>
        <w:tc>
          <w:tcPr>
            <w:tcW w:w="46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51</w:t>
            </w:r>
          </w:p>
        </w:tc>
        <w:tc>
          <w:tcPr>
            <w:tcW w:w="0" w:type="dxa"/>
            <w:vAlign w:val="bottom"/>
          </w:tcPr>
          <w:p>
            <w:pPr>
              <w:spacing w:after="0"/>
              <w:rPr>
                <w:sz w:val="1"/>
                <w:szCs w:val="1"/>
                <w:color w:val="auto"/>
              </w:rPr>
            </w:pPr>
          </w:p>
        </w:tc>
      </w:tr>
      <w:tr>
        <w:trPr>
          <w:trHeight w:val="64"/>
        </w:trPr>
        <w:tc>
          <w:tcPr>
            <w:tcW w:w="5400" w:type="dxa"/>
            <w:vAlign w:val="bottom"/>
            <w:shd w:val="clear" w:color="auto" w:fill="D7E7F5"/>
          </w:tcPr>
          <w:p>
            <w:pPr>
              <w:spacing w:after="0"/>
              <w:rPr>
                <w:sz w:val="5"/>
                <w:szCs w:val="5"/>
                <w:color w:val="auto"/>
              </w:rPr>
            </w:pPr>
          </w:p>
        </w:tc>
        <w:tc>
          <w:tcPr>
            <w:tcW w:w="1040" w:type="dxa"/>
            <w:vAlign w:val="bottom"/>
            <w:shd w:val="clear" w:color="auto" w:fill="D7E7F5"/>
          </w:tcPr>
          <w:p>
            <w:pPr>
              <w:spacing w:after="0"/>
              <w:rPr>
                <w:sz w:val="5"/>
                <w:szCs w:val="5"/>
                <w:color w:val="auto"/>
              </w:rPr>
            </w:pPr>
          </w:p>
        </w:tc>
        <w:tc>
          <w:tcPr>
            <w:tcW w:w="1960" w:type="dxa"/>
            <w:vAlign w:val="bottom"/>
            <w:shd w:val="clear" w:color="auto" w:fill="D7E7F5"/>
          </w:tcPr>
          <w:p>
            <w:pPr>
              <w:spacing w:after="0"/>
              <w:rPr>
                <w:sz w:val="5"/>
                <w:szCs w:val="5"/>
                <w:color w:val="auto"/>
              </w:rPr>
            </w:pPr>
          </w:p>
        </w:tc>
        <w:tc>
          <w:tcPr>
            <w:tcW w:w="460" w:type="dxa"/>
            <w:vAlign w:val="bottom"/>
            <w:shd w:val="clear" w:color="auto" w:fill="D7E7F5"/>
          </w:tcPr>
          <w:p>
            <w:pPr>
              <w:spacing w:after="0"/>
              <w:rPr>
                <w:sz w:val="5"/>
                <w:szCs w:val="5"/>
                <w:color w:val="auto"/>
              </w:rPr>
            </w:pPr>
          </w:p>
        </w:tc>
        <w:tc>
          <w:tcPr>
            <w:tcW w:w="0" w:type="dxa"/>
            <w:vAlign w:val="bottom"/>
          </w:tcPr>
          <w:p>
            <w:pPr>
              <w:spacing w:after="0"/>
              <w:rPr>
                <w:sz w:val="1"/>
                <w:szCs w:val="1"/>
                <w:color w:val="auto"/>
              </w:rPr>
            </w:pPr>
          </w:p>
        </w:tc>
      </w:tr>
      <w:tr>
        <w:trPr>
          <w:trHeight w:val="364"/>
        </w:trPr>
        <w:tc>
          <w:tcPr>
            <w:tcW w:w="54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9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1"/>
        </w:trPr>
        <w:tc>
          <w:tcPr>
            <w:tcW w:w="5400" w:type="dxa"/>
            <w:vAlign w:val="bottom"/>
            <w:shd w:val="clear" w:color="auto" w:fill="D7E7F5"/>
          </w:tcPr>
          <w:p>
            <w:pPr>
              <w:ind w:left="80"/>
              <w:spacing w:after="0"/>
              <w:rPr>
                <w:sz w:val="20"/>
                <w:szCs w:val="20"/>
                <w:color w:val="auto"/>
              </w:rPr>
            </w:pPr>
            <w:r>
              <w:rPr>
                <w:rFonts w:ascii="Arial" w:cs="Arial" w:eastAsia="Arial" w:hAnsi="Arial"/>
                <w:sz w:val="18"/>
                <w:szCs w:val="18"/>
                <w:color w:val="auto"/>
              </w:rPr>
              <w:t>Jorge Luis Real</w:t>
            </w:r>
          </w:p>
        </w:tc>
        <w:tc>
          <w:tcPr>
            <w:tcW w:w="1040" w:type="dxa"/>
            <w:vAlign w:val="bottom"/>
            <w:shd w:val="clear" w:color="auto" w:fill="D7E7F5"/>
          </w:tcPr>
          <w:p>
            <w:pPr>
              <w:spacing w:after="0"/>
              <w:rPr>
                <w:sz w:val="24"/>
                <w:szCs w:val="24"/>
                <w:color w:val="auto"/>
              </w:rPr>
            </w:pPr>
          </w:p>
        </w:tc>
        <w:tc>
          <w:tcPr>
            <w:tcW w:w="1960" w:type="dxa"/>
            <w:vAlign w:val="bottom"/>
            <w:shd w:val="clear" w:color="auto" w:fill="D7E7F5"/>
          </w:tcPr>
          <w:p>
            <w:pPr>
              <w:spacing w:after="0"/>
              <w:rPr>
                <w:sz w:val="24"/>
                <w:szCs w:val="24"/>
                <w:color w:val="auto"/>
              </w:rPr>
            </w:pPr>
          </w:p>
        </w:tc>
        <w:tc>
          <w:tcPr>
            <w:tcW w:w="460" w:type="dxa"/>
            <w:vAlign w:val="bottom"/>
            <w:shd w:val="clear" w:color="auto" w:fill="D7E7F5"/>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5400" w:type="dxa"/>
            <w:vAlign w:val="bottom"/>
            <w:shd w:val="clear" w:color="auto" w:fill="D7E7F5"/>
          </w:tcPr>
          <w:p>
            <w:pPr>
              <w:ind w:left="80"/>
              <w:spacing w:after="0"/>
              <w:rPr>
                <w:sz w:val="20"/>
                <w:szCs w:val="20"/>
                <w:color w:val="auto"/>
              </w:rPr>
            </w:pPr>
            <w:r>
              <w:rPr>
                <w:rFonts w:ascii="Arial" w:cs="Arial" w:eastAsia="Arial" w:hAnsi="Arial"/>
                <w:sz w:val="18"/>
                <w:szCs w:val="18"/>
                <w:color w:val="auto"/>
              </w:rPr>
              <w:t>Executive Vice President - Chief Legal Officer and Corporate</w:t>
            </w:r>
          </w:p>
        </w:tc>
        <w:tc>
          <w:tcPr>
            <w:tcW w:w="1040" w:type="dxa"/>
            <w:vAlign w:val="bottom"/>
            <w:shd w:val="clear" w:color="auto" w:fill="D7E7F5"/>
          </w:tcPr>
          <w:p>
            <w:pPr>
              <w:spacing w:after="0"/>
              <w:rPr>
                <w:sz w:val="24"/>
                <w:szCs w:val="24"/>
                <w:color w:val="auto"/>
              </w:rPr>
            </w:pPr>
          </w:p>
        </w:tc>
        <w:tc>
          <w:tcPr>
            <w:tcW w:w="1960" w:type="dxa"/>
            <w:vAlign w:val="bottom"/>
            <w:shd w:val="clear" w:color="auto" w:fill="D7E7F5"/>
          </w:tcPr>
          <w:p>
            <w:pPr>
              <w:spacing w:after="0"/>
              <w:rPr>
                <w:sz w:val="24"/>
                <w:szCs w:val="24"/>
                <w:color w:val="auto"/>
              </w:rPr>
            </w:pPr>
          </w:p>
        </w:tc>
        <w:tc>
          <w:tcPr>
            <w:tcW w:w="460" w:type="dxa"/>
            <w:vAlign w:val="bottom"/>
            <w:shd w:val="clear" w:color="auto" w:fill="D7E7F5"/>
          </w:tcPr>
          <w:p>
            <w:pPr>
              <w:spacing w:after="0"/>
              <w:rPr>
                <w:sz w:val="24"/>
                <w:szCs w:val="24"/>
                <w:color w:val="auto"/>
              </w:rPr>
            </w:pPr>
          </w:p>
        </w:tc>
        <w:tc>
          <w:tcPr>
            <w:tcW w:w="0" w:type="dxa"/>
            <w:vAlign w:val="bottom"/>
          </w:tcPr>
          <w:p>
            <w:pPr>
              <w:spacing w:after="0"/>
              <w:rPr>
                <w:sz w:val="1"/>
                <w:szCs w:val="1"/>
                <w:color w:val="auto"/>
              </w:rPr>
            </w:pPr>
          </w:p>
        </w:tc>
      </w:tr>
      <w:tr>
        <w:trPr>
          <w:trHeight w:val="243"/>
        </w:trPr>
        <w:tc>
          <w:tcPr>
            <w:tcW w:w="5400" w:type="dxa"/>
            <w:vAlign w:val="bottom"/>
            <w:shd w:val="clear" w:color="auto" w:fill="D7E7F5"/>
          </w:tcPr>
          <w:p>
            <w:pPr>
              <w:ind w:left="80"/>
              <w:spacing w:after="0"/>
              <w:rPr>
                <w:sz w:val="20"/>
                <w:szCs w:val="20"/>
                <w:color w:val="auto"/>
              </w:rPr>
            </w:pPr>
            <w:r>
              <w:rPr>
                <w:rFonts w:ascii="Arial" w:cs="Arial" w:eastAsia="Arial" w:hAnsi="Arial"/>
                <w:sz w:val="18"/>
                <w:szCs w:val="18"/>
                <w:color w:val="auto"/>
              </w:rPr>
              <w:t>Secretary</w:t>
            </w:r>
          </w:p>
        </w:tc>
        <w:tc>
          <w:tcPr>
            <w:tcW w:w="1040" w:type="dxa"/>
            <w:vAlign w:val="bottom"/>
            <w:shd w:val="clear" w:color="auto" w:fill="D7E7F5"/>
          </w:tcPr>
          <w:p>
            <w:pPr>
              <w:spacing w:after="0"/>
              <w:rPr>
                <w:sz w:val="21"/>
                <w:szCs w:val="21"/>
                <w:color w:val="auto"/>
              </w:rPr>
            </w:pPr>
          </w:p>
        </w:tc>
        <w:tc>
          <w:tcPr>
            <w:tcW w:w="1960" w:type="dxa"/>
            <w:vAlign w:val="bottom"/>
            <w:shd w:val="clear" w:color="auto" w:fill="D7E7F5"/>
          </w:tcPr>
          <w:p>
            <w:pPr>
              <w:spacing w:after="0"/>
              <w:rPr>
                <w:sz w:val="21"/>
                <w:szCs w:val="21"/>
                <w:color w:val="auto"/>
              </w:rPr>
            </w:pPr>
          </w:p>
        </w:tc>
        <w:tc>
          <w:tcPr>
            <w:tcW w:w="460" w:type="dxa"/>
            <w:vAlign w:val="bottom"/>
            <w:shd w:val="clear" w:color="auto" w:fill="D7E7F5"/>
          </w:tcPr>
          <w:p>
            <w:pPr>
              <w:spacing w:after="0"/>
              <w:rPr>
                <w:sz w:val="21"/>
                <w:szCs w:val="21"/>
                <w:color w:val="auto"/>
              </w:rPr>
            </w:pPr>
          </w:p>
        </w:tc>
        <w:tc>
          <w:tcPr>
            <w:tcW w:w="0" w:type="dxa"/>
            <w:vAlign w:val="bottom"/>
          </w:tcPr>
          <w:p>
            <w:pPr>
              <w:spacing w:after="0"/>
              <w:rPr>
                <w:sz w:val="1"/>
                <w:szCs w:val="1"/>
                <w:color w:val="auto"/>
              </w:rPr>
            </w:pPr>
          </w:p>
        </w:tc>
      </w:tr>
      <w:tr>
        <w:trPr>
          <w:trHeight w:val="406"/>
        </w:trPr>
        <w:tc>
          <w:tcPr>
            <w:tcW w:w="5400" w:type="dxa"/>
            <w:vAlign w:val="bottom"/>
            <w:tcBorders>
              <w:bottom w:val="single" w:sz="8" w:color="D7E7F5"/>
            </w:tcBorders>
            <w:shd w:val="clear" w:color="auto" w:fill="D7E7F5"/>
          </w:tcPr>
          <w:p>
            <w:pPr>
              <w:ind w:left="80"/>
              <w:spacing w:after="0"/>
              <w:rPr>
                <w:sz w:val="20"/>
                <w:szCs w:val="20"/>
                <w:color w:val="auto"/>
              </w:rPr>
            </w:pPr>
            <w:r>
              <w:rPr>
                <w:rFonts w:ascii="Arial" w:cs="Arial" w:eastAsia="Arial" w:hAnsi="Arial"/>
                <w:sz w:val="18"/>
                <w:szCs w:val="18"/>
                <w:color w:val="auto"/>
              </w:rPr>
              <w:t>Banco Latinoamericano de Comercio Exterior, S.A., Panama</w:t>
            </w:r>
          </w:p>
        </w:tc>
        <w:tc>
          <w:tcPr>
            <w:tcW w:w="104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rPr>
              <w:t>Panama</w:t>
            </w:r>
          </w:p>
        </w:tc>
        <w:tc>
          <w:tcPr>
            <w:tcW w:w="196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rPr>
              <w:t>Secretary</w:t>
            </w:r>
          </w:p>
        </w:tc>
        <w:tc>
          <w:tcPr>
            <w:tcW w:w="46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w w:val="99"/>
              </w:rPr>
              <w:t>48</w:t>
            </w:r>
          </w:p>
        </w:tc>
        <w:tc>
          <w:tcPr>
            <w:tcW w:w="0" w:type="dxa"/>
            <w:vAlign w:val="bottom"/>
          </w:tcPr>
          <w:p>
            <w:pPr>
              <w:spacing w:after="0"/>
              <w:rPr>
                <w:sz w:val="1"/>
                <w:szCs w:val="1"/>
                <w:color w:val="auto"/>
              </w:rPr>
            </w:pPr>
          </w:p>
        </w:tc>
      </w:tr>
      <w:tr>
        <w:trPr>
          <w:trHeight w:val="302"/>
        </w:trPr>
        <w:tc>
          <w:tcPr>
            <w:tcW w:w="5400" w:type="dxa"/>
            <w:vAlign w:val="bottom"/>
            <w:tcBorders>
              <w:top w:val="single" w:sz="8" w:color="0065C1"/>
            </w:tcBorders>
          </w:tcPr>
          <w:p>
            <w:pPr>
              <w:spacing w:after="0"/>
              <w:rPr>
                <w:sz w:val="20"/>
                <w:szCs w:val="20"/>
                <w:color w:val="auto"/>
              </w:rPr>
            </w:pPr>
            <w:r>
              <w:rPr>
                <w:rFonts w:ascii="Arial" w:cs="Arial" w:eastAsia="Arial" w:hAnsi="Arial"/>
                <w:sz w:val="16"/>
                <w:szCs w:val="16"/>
                <w:color w:val="auto"/>
              </w:rPr>
              <w:t>*   Indicates individual is also a member of the Board.</w:t>
            </w:r>
          </w:p>
        </w:tc>
        <w:tc>
          <w:tcPr>
            <w:tcW w:w="1040" w:type="dxa"/>
            <w:vAlign w:val="bottom"/>
            <w:tcBorders>
              <w:top w:val="single" w:sz="8" w:color="0065C1"/>
            </w:tcBorders>
          </w:tcPr>
          <w:p>
            <w:pPr>
              <w:spacing w:after="0"/>
              <w:rPr>
                <w:sz w:val="24"/>
                <w:szCs w:val="24"/>
                <w:color w:val="auto"/>
              </w:rPr>
            </w:pPr>
          </w:p>
        </w:tc>
        <w:tc>
          <w:tcPr>
            <w:tcW w:w="1960" w:type="dxa"/>
            <w:vAlign w:val="bottom"/>
            <w:tcBorders>
              <w:top w:val="single" w:sz="8" w:color="0065C1"/>
            </w:tcBorders>
          </w:tcPr>
          <w:p>
            <w:pPr>
              <w:spacing w:after="0"/>
              <w:rPr>
                <w:sz w:val="24"/>
                <w:szCs w:val="24"/>
                <w:color w:val="auto"/>
              </w:rPr>
            </w:pPr>
          </w:p>
        </w:tc>
        <w:tc>
          <w:tcPr>
            <w:tcW w:w="460" w:type="dxa"/>
            <w:vAlign w:val="bottom"/>
            <w:tcBorders>
              <w:top w:val="single" w:sz="8" w:color="0065C1"/>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9"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Board Leadership Structure</w:t>
      </w:r>
    </w:p>
    <w:p>
      <w:pPr>
        <w:spacing w:after="0" w:line="152" w:lineRule="exact"/>
        <w:rPr>
          <w:sz w:val="20"/>
          <w:szCs w:val="20"/>
          <w:color w:val="auto"/>
        </w:rPr>
      </w:pPr>
    </w:p>
    <w:p>
      <w:pPr>
        <w:jc w:val="both"/>
        <w:ind w:left="80" w:right="99"/>
        <w:spacing w:after="0" w:line="255" w:lineRule="auto"/>
        <w:rPr>
          <w:sz w:val="20"/>
          <w:szCs w:val="20"/>
          <w:color w:val="auto"/>
        </w:rPr>
      </w:pPr>
      <w:r>
        <w:rPr>
          <w:rFonts w:ascii="Arial" w:cs="Arial" w:eastAsia="Arial" w:hAnsi="Arial"/>
          <w:sz w:val="18"/>
          <w:szCs w:val="18"/>
          <w:color w:val="auto"/>
        </w:rPr>
        <w:t>The Board recognizes that one of its key responsibilities is to evaluate and determine its optimal leadership structure so as to provide an independent oversight of management. The Bank currently separates the positions of Chief Executive Officer and Chairman of the Board.</w:t>
      </w:r>
    </w:p>
    <w:p>
      <w:pPr>
        <w:spacing w:after="0" w:line="96" w:lineRule="exact"/>
        <w:rPr>
          <w:sz w:val="20"/>
          <w:szCs w:val="20"/>
          <w:color w:val="auto"/>
        </w:rPr>
      </w:pPr>
    </w:p>
    <w:p>
      <w:pPr>
        <w:jc w:val="both"/>
        <w:ind w:left="80" w:right="99"/>
        <w:spacing w:after="0" w:line="276" w:lineRule="auto"/>
        <w:rPr>
          <w:sz w:val="20"/>
          <w:szCs w:val="20"/>
          <w:color w:val="auto"/>
        </w:rPr>
      </w:pPr>
      <w:r>
        <w:rPr>
          <w:rFonts w:ascii="Arial" w:cs="Arial" w:eastAsia="Arial" w:hAnsi="Arial"/>
          <w:sz w:val="18"/>
          <w:szCs w:val="18"/>
          <w:color w:val="auto"/>
        </w:rPr>
        <w:t>As defined by the SEC in Item 407 of Regulation S-K, at least one of the members of the Audit Committee is an “audit committee financial expert”.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106680</wp:posOffset>
            </wp:positionV>
            <wp:extent cx="5623560" cy="88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192405</wp:posOffset>
            </wp:positionV>
            <wp:extent cx="411480" cy="18034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98" w:lineRule="exact"/>
        <w:rPr>
          <w:sz w:val="20"/>
          <w:szCs w:val="20"/>
          <w:color w:val="auto"/>
        </w:rPr>
      </w:pPr>
    </w:p>
    <w:p>
      <w:pPr>
        <w:ind w:left="6600"/>
        <w:spacing w:after="0"/>
        <w:tabs>
          <w:tab w:leader="none" w:pos="8720" w:val="left"/>
        </w:tabs>
        <w:rPr>
          <w:sz w:val="20"/>
          <w:szCs w:val="20"/>
          <w:color w:val="auto"/>
        </w:rPr>
      </w:pPr>
      <w:r>
        <w:rPr>
          <w:rFonts w:ascii="Arial" w:cs="Arial" w:eastAsia="Arial" w:hAnsi="Arial"/>
          <w:sz w:val="18"/>
          <w:szCs w:val="18"/>
          <w:b w:val="1"/>
          <w:bCs w:val="1"/>
          <w:color w:val="auto"/>
        </w:rPr>
        <w:t>Proxy Statement 2021</w:t>
      </w:r>
      <w:r>
        <w:rPr>
          <w:sz w:val="20"/>
          <w:szCs w:val="20"/>
          <w:color w:val="auto"/>
        </w:rPr>
        <w:tab/>
      </w:r>
      <w:r>
        <w:rPr>
          <w:rFonts w:ascii="Arial" w:cs="Arial" w:eastAsia="Arial" w:hAnsi="Arial"/>
          <w:sz w:val="17"/>
          <w:szCs w:val="17"/>
          <w:b w:val="1"/>
          <w:bCs w:val="1"/>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type w:val="continuous"/>
        </w:sectPr>
      </w:pPr>
    </w:p>
    <w:bookmarkStart w:id="22" w:name="page23"/>
    <w:bookmarkEnd w:id="22"/>
    <w:p>
      <w:pPr>
        <w:ind w:left="80" w:right="539"/>
        <w:spacing w:after="0" w:line="251" w:lineRule="auto"/>
        <w:rPr>
          <w:sz w:val="20"/>
          <w:szCs w:val="20"/>
          <w:color w:val="auto"/>
        </w:rPr>
      </w:pPr>
      <w:r>
        <w:rPr>
          <w:rFonts w:ascii="Arial" w:cs="Arial" w:eastAsia="Arial" w:hAnsi="Arial"/>
          <w:sz w:val="22"/>
          <w:szCs w:val="22"/>
          <w:color w:val="0065C1"/>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182880</wp:posOffset>
            </wp:positionV>
            <wp:extent cx="5623560" cy="825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381" w:lineRule="exact"/>
        <w:rPr>
          <w:sz w:val="20"/>
          <w:szCs w:val="20"/>
          <w:color w:val="auto"/>
        </w:rPr>
      </w:pPr>
    </w:p>
    <w:p>
      <w:pPr>
        <w:jc w:val="both"/>
        <w:ind w:left="80" w:right="79"/>
        <w:spacing w:after="0" w:line="245" w:lineRule="auto"/>
        <w:rPr>
          <w:sz w:val="20"/>
          <w:szCs w:val="20"/>
          <w:color w:val="auto"/>
        </w:rPr>
      </w:pPr>
      <w:r>
        <w:rPr>
          <w:rFonts w:ascii="Arial" w:cs="Arial" w:eastAsia="Arial" w:hAnsi="Arial"/>
          <w:sz w:val="18"/>
          <w:szCs w:val="18"/>
          <w:color w:val="auto"/>
        </w:rPr>
        <w:t>In compliance with the Sarbanes-Oxley Act, Section 303A of the New York Stock Exchange Listed Company Manual, the Rules of the Superintendency of Banks of Panama, the Bank’s organizational documents and charters of each of the following Board Committees, a majority of the members of the Board of Directors, all members of the Audit Committee, and all members of the Compensation Committee of the Bank are independent directors.</w:t>
      </w:r>
    </w:p>
    <w:p>
      <w:pPr>
        <w:spacing w:after="0" w:line="105" w:lineRule="exact"/>
        <w:rPr>
          <w:sz w:val="20"/>
          <w:szCs w:val="20"/>
          <w:color w:val="auto"/>
        </w:rPr>
      </w:pPr>
    </w:p>
    <w:p>
      <w:pPr>
        <w:jc w:val="both"/>
        <w:ind w:left="80" w:right="99"/>
        <w:spacing w:after="0" w:line="276" w:lineRule="auto"/>
        <w:rPr>
          <w:sz w:val="20"/>
          <w:szCs w:val="20"/>
          <w:color w:val="auto"/>
        </w:rPr>
      </w:pPr>
      <w:r>
        <w:rPr>
          <w:rFonts w:ascii="Arial" w:cs="Arial" w:eastAsia="Arial" w:hAnsi="Arial"/>
          <w:sz w:val="18"/>
          <w:szCs w:val="18"/>
          <w:color w:val="auto"/>
        </w:rPr>
        <w:t>Our Board believes that its leadership structure promotes an effective board that supports and challenges management appropriately.</w:t>
      </w:r>
    </w:p>
    <w:p>
      <w:pPr>
        <w:spacing w:after="0" w:line="172"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Director Education</w:t>
      </w:r>
    </w:p>
    <w:p>
      <w:pPr>
        <w:spacing w:after="0" w:line="152" w:lineRule="exact"/>
        <w:rPr>
          <w:sz w:val="20"/>
          <w:szCs w:val="20"/>
          <w:color w:val="auto"/>
        </w:rPr>
      </w:pPr>
    </w:p>
    <w:p>
      <w:pPr>
        <w:jc w:val="both"/>
        <w:ind w:left="80" w:right="79"/>
        <w:spacing w:after="0" w:line="245" w:lineRule="auto"/>
        <w:rPr>
          <w:sz w:val="20"/>
          <w:szCs w:val="20"/>
          <w:color w:val="auto"/>
        </w:rPr>
      </w:pPr>
      <w:r>
        <w:rPr>
          <w:rFonts w:ascii="Arial" w:cs="Arial" w:eastAsia="Arial" w:hAnsi="Arial"/>
          <w:sz w:val="18"/>
          <w:szCs w:val="18"/>
          <w:color w:val="auto"/>
        </w:rPr>
        <w:t>The Board believes that director education is essential to the ability of the directors to provide oversight and fulfill their roles. It is important that directors receive additional information and training about issues that are relevant to exercising prudent oversight of the management of the Bank. As such, the Bank regularly provides training that covers its industry and related current business, regulatory and governance topics presented by internal and external experts.</w:t>
      </w:r>
    </w:p>
    <w:p>
      <w:pPr>
        <w:spacing w:after="0" w:line="105" w:lineRule="exact"/>
        <w:rPr>
          <w:sz w:val="20"/>
          <w:szCs w:val="20"/>
          <w:color w:val="auto"/>
        </w:rPr>
      </w:pPr>
    </w:p>
    <w:p>
      <w:pPr>
        <w:jc w:val="both"/>
        <w:ind w:left="80" w:right="79"/>
        <w:spacing w:after="0" w:line="241" w:lineRule="auto"/>
        <w:rPr>
          <w:sz w:val="20"/>
          <w:szCs w:val="20"/>
          <w:color w:val="auto"/>
        </w:rPr>
      </w:pPr>
      <w:r>
        <w:rPr>
          <w:rFonts w:ascii="Arial" w:cs="Arial" w:eastAsia="Arial" w:hAnsi="Arial"/>
          <w:sz w:val="18"/>
          <w:szCs w:val="18"/>
          <w:color w:val="auto"/>
        </w:rPr>
        <w:t>All new directors on the Bank’s Board receive an orientation to the Company and training that is individually tailored, taking into account the director’s experience, background, education and committee assignments. The Bank’s new director orientation program is led by members of senior management, in consultation with the Chairman of the Board and each of the Bank’s new directors, and covers a review of the Bank’s business groups, strategic plan, financial statements and policies, risk management framework and significant risks, regulatory matters, corporate governance and key policies and practices (including the Bank’s Code of Ethics and Compliance programs), as well as the roles and responsibilities of its directors.</w:t>
      </w:r>
    </w:p>
    <w:p>
      <w:pPr>
        <w:spacing w:after="0" w:line="98" w:lineRule="exact"/>
        <w:rPr>
          <w:sz w:val="20"/>
          <w:szCs w:val="20"/>
          <w:color w:val="auto"/>
        </w:rPr>
      </w:pPr>
    </w:p>
    <w:p>
      <w:pPr>
        <w:jc w:val="both"/>
        <w:ind w:left="80" w:right="79"/>
        <w:spacing w:after="0" w:line="243" w:lineRule="auto"/>
        <w:rPr>
          <w:sz w:val="20"/>
          <w:szCs w:val="20"/>
          <w:color w:val="auto"/>
        </w:rPr>
      </w:pPr>
      <w:r>
        <w:rPr>
          <w:rFonts w:ascii="Arial" w:cs="Arial" w:eastAsia="Arial" w:hAnsi="Arial"/>
          <w:sz w:val="18"/>
          <w:szCs w:val="18"/>
          <w:color w:val="auto"/>
        </w:rPr>
        <w:t>The Board and its committees participate in and receive various forms of training and education throughout the year, including business update sessions; management presentations on the Bank’s businesses, services, and products; and information on industry trends, regulatory developments, best practices, and emerging risks in the financial services industry. Other educational and reference materials on governance, regulatory, risk, and anti-money laundering and anti-corruption as well as other relevant topics are regularly included in Board and committee meeting materials and maintained in an electronic library available to directors.</w:t>
      </w:r>
    </w:p>
    <w:p>
      <w:pPr>
        <w:spacing w:after="0" w:line="200"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Meetings of the Board and Committees</w:t>
      </w:r>
    </w:p>
    <w:p>
      <w:pPr>
        <w:spacing w:after="0" w:line="152" w:lineRule="exact"/>
        <w:rPr>
          <w:sz w:val="20"/>
          <w:szCs w:val="20"/>
          <w:color w:val="auto"/>
        </w:rPr>
      </w:pPr>
    </w:p>
    <w:p>
      <w:pPr>
        <w:jc w:val="both"/>
        <w:ind w:left="80" w:right="99"/>
        <w:spacing w:after="0" w:line="276" w:lineRule="auto"/>
        <w:rPr>
          <w:sz w:val="20"/>
          <w:szCs w:val="20"/>
          <w:color w:val="auto"/>
        </w:rPr>
      </w:pPr>
      <w:r>
        <w:rPr>
          <w:rFonts w:ascii="Arial" w:cs="Arial" w:eastAsia="Arial" w:hAnsi="Arial"/>
          <w:sz w:val="18"/>
          <w:szCs w:val="18"/>
          <w:color w:val="auto"/>
        </w:rPr>
        <w:t>During the fiscal year ended December 31, 2020, the Board held ten meetings. Directors attended an average of 97% of the total number of Board meetings held during the fiscal year ended December 31, 2020.</w:t>
      </w:r>
    </w:p>
    <w:p>
      <w:pPr>
        <w:spacing w:after="0" w:line="64" w:lineRule="exact"/>
        <w:rPr>
          <w:sz w:val="20"/>
          <w:szCs w:val="20"/>
          <w:color w:val="auto"/>
        </w:rPr>
      </w:pPr>
    </w:p>
    <w:p>
      <w:pPr>
        <w:ind w:left="80"/>
        <w:spacing w:after="0"/>
        <w:rPr>
          <w:sz w:val="20"/>
          <w:szCs w:val="20"/>
          <w:color w:val="auto"/>
        </w:rPr>
      </w:pPr>
      <w:r>
        <w:rPr>
          <w:rFonts w:ascii="Arial" w:cs="Arial" w:eastAsia="Arial" w:hAnsi="Arial"/>
          <w:sz w:val="18"/>
          <w:szCs w:val="18"/>
          <w:color w:val="auto"/>
        </w:rPr>
        <w:t>The following table sets forth the membership and number of meetings for each of the five Committees of the</w:t>
      </w:r>
    </w:p>
    <w:p>
      <w:pPr>
        <w:spacing w:after="0" w:line="18" w:lineRule="exact"/>
        <w:rPr>
          <w:sz w:val="20"/>
          <w:szCs w:val="20"/>
          <w:color w:val="auto"/>
        </w:rPr>
      </w:pPr>
    </w:p>
    <w:p>
      <w:pPr>
        <w:ind w:left="80"/>
        <w:spacing w:after="0"/>
        <w:rPr>
          <w:sz w:val="20"/>
          <w:szCs w:val="20"/>
          <w:color w:val="auto"/>
        </w:rPr>
      </w:pPr>
      <w:r>
        <w:rPr>
          <w:rFonts w:ascii="Arial" w:cs="Arial" w:eastAsia="Arial" w:hAnsi="Arial"/>
          <w:sz w:val="18"/>
          <w:szCs w:val="18"/>
          <w:color w:val="auto"/>
        </w:rPr>
        <w:t>Board during the fiscal year ended December 31, 2020:</w:t>
      </w:r>
    </w:p>
    <w:p>
      <w:pPr>
        <w:spacing w:after="0" w:line="77" w:lineRule="exact"/>
        <w:rPr>
          <w:sz w:val="20"/>
          <w:szCs w:val="20"/>
          <w:color w:val="auto"/>
        </w:rPr>
      </w:pPr>
    </w:p>
    <w:tbl>
      <w:tblPr>
        <w:tblLayout w:type="fixed"/>
        <w:tblInd w:w="80" w:type="dxa"/>
        <w:tblCellMar>
          <w:top w:w="0" w:type="dxa"/>
          <w:left w:w="0" w:type="dxa"/>
          <w:bottom w:w="0" w:type="dxa"/>
          <w:right w:w="0" w:type="dxa"/>
        </w:tblCellMar>
      </w:tblPr>
      <w:tr>
        <w:trPr>
          <w:trHeight w:val="247"/>
        </w:trPr>
        <w:tc>
          <w:tcPr>
            <w:tcW w:w="60" w:type="dxa"/>
            <w:vAlign w:val="bottom"/>
            <w:shd w:val="clear" w:color="auto" w:fill="0065C1"/>
          </w:tcPr>
          <w:p>
            <w:pPr>
              <w:spacing w:after="0"/>
              <w:rPr>
                <w:sz w:val="21"/>
                <w:szCs w:val="21"/>
                <w:color w:val="auto"/>
              </w:rPr>
            </w:pPr>
          </w:p>
        </w:tc>
        <w:tc>
          <w:tcPr>
            <w:tcW w:w="2600" w:type="dxa"/>
            <w:vAlign w:val="bottom"/>
            <w:shd w:val="clear" w:color="auto" w:fill="0065C1"/>
          </w:tcPr>
          <w:p>
            <w:pPr>
              <w:spacing w:after="0"/>
              <w:rPr>
                <w:sz w:val="21"/>
                <w:szCs w:val="21"/>
                <w:color w:val="auto"/>
              </w:rPr>
            </w:pPr>
          </w:p>
        </w:tc>
        <w:tc>
          <w:tcPr>
            <w:tcW w:w="1300" w:type="dxa"/>
            <w:vAlign w:val="bottom"/>
            <w:shd w:val="clear" w:color="auto" w:fill="0065C1"/>
          </w:tcPr>
          <w:p>
            <w:pPr>
              <w:spacing w:after="0"/>
              <w:rPr>
                <w:sz w:val="21"/>
                <w:szCs w:val="21"/>
                <w:color w:val="auto"/>
              </w:rPr>
            </w:pPr>
          </w:p>
        </w:tc>
        <w:tc>
          <w:tcPr>
            <w:tcW w:w="1200" w:type="dxa"/>
            <w:vAlign w:val="bottom"/>
            <w:vMerge w:val="restart"/>
            <w:shd w:val="clear" w:color="auto" w:fill="0065C1"/>
          </w:tcPr>
          <w:p>
            <w:pPr>
              <w:jc w:val="center"/>
              <w:spacing w:after="0"/>
              <w:rPr>
                <w:sz w:val="20"/>
                <w:szCs w:val="20"/>
                <w:color w:val="auto"/>
              </w:rPr>
            </w:pPr>
            <w:r>
              <w:rPr>
                <w:rFonts w:ascii="Arial" w:cs="Arial" w:eastAsia="Arial" w:hAnsi="Arial"/>
                <w:sz w:val="15"/>
                <w:szCs w:val="15"/>
                <w:b w:val="1"/>
                <w:bCs w:val="1"/>
                <w:color w:val="FFFFFF"/>
              </w:rPr>
              <w:t>Risk Policy</w:t>
            </w:r>
          </w:p>
        </w:tc>
        <w:tc>
          <w:tcPr>
            <w:tcW w:w="1040" w:type="dxa"/>
            <w:vAlign w:val="bottom"/>
            <w:vMerge w:val="restart"/>
            <w:shd w:val="clear" w:color="auto" w:fill="0065C1"/>
          </w:tcPr>
          <w:p>
            <w:pPr>
              <w:jc w:val="center"/>
              <w:ind w:right="24"/>
              <w:spacing w:after="0"/>
              <w:rPr>
                <w:sz w:val="20"/>
                <w:szCs w:val="20"/>
                <w:color w:val="auto"/>
              </w:rPr>
            </w:pPr>
            <w:r>
              <w:rPr>
                <w:rFonts w:ascii="Arial" w:cs="Arial" w:eastAsia="Arial" w:hAnsi="Arial"/>
                <w:sz w:val="15"/>
                <w:szCs w:val="15"/>
                <w:b w:val="1"/>
                <w:bCs w:val="1"/>
                <w:color w:val="FFFFFF"/>
              </w:rPr>
              <w:t>Finance</w:t>
            </w:r>
          </w:p>
        </w:tc>
        <w:tc>
          <w:tcPr>
            <w:tcW w:w="1300" w:type="dxa"/>
            <w:vAlign w:val="bottom"/>
            <w:shd w:val="clear" w:color="auto" w:fill="0065C1"/>
          </w:tcPr>
          <w:p>
            <w:pPr>
              <w:jc w:val="center"/>
              <w:spacing w:after="0"/>
              <w:rPr>
                <w:sz w:val="20"/>
                <w:szCs w:val="20"/>
                <w:color w:val="auto"/>
              </w:rPr>
            </w:pPr>
            <w:r>
              <w:rPr>
                <w:rFonts w:ascii="Arial" w:cs="Arial" w:eastAsia="Arial" w:hAnsi="Arial"/>
                <w:sz w:val="15"/>
                <w:szCs w:val="15"/>
                <w:b w:val="1"/>
                <w:bCs w:val="1"/>
                <w:color w:val="FFFFFF"/>
              </w:rPr>
              <w:t>Compliance</w:t>
            </w:r>
          </w:p>
        </w:tc>
        <w:tc>
          <w:tcPr>
            <w:tcW w:w="1360" w:type="dxa"/>
            <w:vAlign w:val="bottom"/>
            <w:shd w:val="clear" w:color="auto" w:fill="0065C1"/>
          </w:tcPr>
          <w:p>
            <w:pPr>
              <w:spacing w:after="0"/>
              <w:rPr>
                <w:sz w:val="21"/>
                <w:szCs w:val="21"/>
                <w:color w:val="auto"/>
              </w:rPr>
            </w:pPr>
          </w:p>
        </w:tc>
        <w:tc>
          <w:tcPr>
            <w:tcW w:w="0" w:type="dxa"/>
            <w:vAlign w:val="bottom"/>
          </w:tcPr>
          <w:p>
            <w:pPr>
              <w:spacing w:after="0"/>
              <w:rPr>
                <w:sz w:val="1"/>
                <w:szCs w:val="1"/>
                <w:color w:val="auto"/>
              </w:rPr>
            </w:pPr>
          </w:p>
        </w:tc>
      </w:tr>
      <w:tr>
        <w:trPr>
          <w:trHeight w:val="162"/>
        </w:trPr>
        <w:tc>
          <w:tcPr>
            <w:tcW w:w="60" w:type="dxa"/>
            <w:vAlign w:val="bottom"/>
            <w:shd w:val="clear" w:color="auto" w:fill="0065C1"/>
          </w:tcPr>
          <w:p>
            <w:pPr>
              <w:spacing w:after="0"/>
              <w:rPr>
                <w:sz w:val="14"/>
                <w:szCs w:val="14"/>
                <w:color w:val="auto"/>
              </w:rPr>
            </w:pPr>
          </w:p>
        </w:tc>
        <w:tc>
          <w:tcPr>
            <w:tcW w:w="2600" w:type="dxa"/>
            <w:vAlign w:val="bottom"/>
            <w:shd w:val="clear" w:color="auto" w:fill="0065C1"/>
          </w:tcPr>
          <w:p>
            <w:pPr>
              <w:spacing w:after="0"/>
              <w:rPr>
                <w:sz w:val="14"/>
                <w:szCs w:val="14"/>
                <w:color w:val="auto"/>
              </w:rPr>
            </w:pPr>
          </w:p>
        </w:tc>
        <w:tc>
          <w:tcPr>
            <w:tcW w:w="1300" w:type="dxa"/>
            <w:vAlign w:val="bottom"/>
            <w:shd w:val="clear" w:color="auto" w:fill="0065C1"/>
          </w:tcPr>
          <w:p>
            <w:pPr>
              <w:spacing w:after="0"/>
              <w:rPr>
                <w:sz w:val="14"/>
                <w:szCs w:val="14"/>
                <w:color w:val="auto"/>
              </w:rPr>
            </w:pPr>
          </w:p>
        </w:tc>
        <w:tc>
          <w:tcPr>
            <w:tcW w:w="1200" w:type="dxa"/>
            <w:vAlign w:val="bottom"/>
            <w:vMerge w:val="continue"/>
            <w:shd w:val="clear" w:color="auto" w:fill="0065C1"/>
          </w:tcPr>
          <w:p>
            <w:pPr>
              <w:spacing w:after="0"/>
              <w:rPr>
                <w:sz w:val="14"/>
                <w:szCs w:val="14"/>
                <w:color w:val="auto"/>
              </w:rPr>
            </w:pPr>
          </w:p>
        </w:tc>
        <w:tc>
          <w:tcPr>
            <w:tcW w:w="1040" w:type="dxa"/>
            <w:vAlign w:val="bottom"/>
            <w:vMerge w:val="continue"/>
            <w:shd w:val="clear" w:color="auto" w:fill="0065C1"/>
          </w:tcPr>
          <w:p>
            <w:pPr>
              <w:spacing w:after="0"/>
              <w:rPr>
                <w:sz w:val="14"/>
                <w:szCs w:val="14"/>
                <w:color w:val="auto"/>
              </w:rPr>
            </w:pPr>
          </w:p>
        </w:tc>
        <w:tc>
          <w:tcPr>
            <w:tcW w:w="1300" w:type="dxa"/>
            <w:vAlign w:val="bottom"/>
            <w:shd w:val="clear" w:color="auto" w:fill="0065C1"/>
          </w:tcPr>
          <w:p>
            <w:pPr>
              <w:jc w:val="center"/>
              <w:spacing w:after="0" w:line="162" w:lineRule="exact"/>
              <w:rPr>
                <w:sz w:val="20"/>
                <w:szCs w:val="20"/>
                <w:color w:val="auto"/>
              </w:rPr>
            </w:pPr>
            <w:r>
              <w:rPr>
                <w:rFonts w:ascii="Arial" w:cs="Arial" w:eastAsia="Arial" w:hAnsi="Arial"/>
                <w:sz w:val="15"/>
                <w:szCs w:val="15"/>
                <w:b w:val="1"/>
                <w:bCs w:val="1"/>
                <w:color w:val="FFFFFF"/>
              </w:rPr>
              <w:t>and Anti-</w:t>
            </w:r>
          </w:p>
        </w:tc>
        <w:tc>
          <w:tcPr>
            <w:tcW w:w="1360" w:type="dxa"/>
            <w:vAlign w:val="bottom"/>
            <w:shd w:val="clear" w:color="auto" w:fill="0065C1"/>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60" w:type="dxa"/>
            <w:vAlign w:val="bottom"/>
            <w:shd w:val="clear" w:color="auto" w:fill="0065C1"/>
          </w:tcPr>
          <w:p>
            <w:pPr>
              <w:spacing w:after="0"/>
              <w:rPr>
                <w:sz w:val="14"/>
                <w:szCs w:val="14"/>
                <w:color w:val="auto"/>
              </w:rPr>
            </w:pPr>
          </w:p>
        </w:tc>
        <w:tc>
          <w:tcPr>
            <w:tcW w:w="2600" w:type="dxa"/>
            <w:vAlign w:val="bottom"/>
            <w:vMerge w:val="restart"/>
            <w:shd w:val="clear" w:color="auto" w:fill="0065C1"/>
          </w:tcPr>
          <w:p>
            <w:pPr>
              <w:ind w:left="40"/>
              <w:spacing w:after="0"/>
              <w:rPr>
                <w:sz w:val="20"/>
                <w:szCs w:val="20"/>
                <w:color w:val="auto"/>
              </w:rPr>
            </w:pPr>
            <w:r>
              <w:rPr>
                <w:rFonts w:ascii="Arial" w:cs="Arial" w:eastAsia="Arial" w:hAnsi="Arial"/>
                <w:sz w:val="15"/>
                <w:szCs w:val="15"/>
                <w:b w:val="1"/>
                <w:bCs w:val="1"/>
                <w:color w:val="FFFFFF"/>
              </w:rPr>
              <w:t>Name</w:t>
            </w:r>
          </w:p>
        </w:tc>
        <w:tc>
          <w:tcPr>
            <w:tcW w:w="1300" w:type="dxa"/>
            <w:vAlign w:val="bottom"/>
            <w:vMerge w:val="restart"/>
            <w:shd w:val="clear" w:color="auto" w:fill="0065C1"/>
          </w:tcPr>
          <w:p>
            <w:pPr>
              <w:ind w:left="760"/>
              <w:spacing w:after="0"/>
              <w:rPr>
                <w:sz w:val="20"/>
                <w:szCs w:val="20"/>
                <w:color w:val="auto"/>
              </w:rPr>
            </w:pPr>
            <w:r>
              <w:rPr>
                <w:rFonts w:ascii="Arial" w:cs="Arial" w:eastAsia="Arial" w:hAnsi="Arial"/>
                <w:sz w:val="15"/>
                <w:szCs w:val="15"/>
                <w:b w:val="1"/>
                <w:bCs w:val="1"/>
                <w:color w:val="FFFFFF"/>
              </w:rPr>
              <w:t>Audit</w:t>
            </w:r>
          </w:p>
        </w:tc>
        <w:tc>
          <w:tcPr>
            <w:tcW w:w="1200" w:type="dxa"/>
            <w:vAlign w:val="bottom"/>
            <w:shd w:val="clear" w:color="auto" w:fill="0065C1"/>
          </w:tcPr>
          <w:p>
            <w:pPr>
              <w:jc w:val="center"/>
              <w:spacing w:after="0" w:line="162" w:lineRule="exact"/>
              <w:rPr>
                <w:sz w:val="20"/>
                <w:szCs w:val="20"/>
                <w:color w:val="auto"/>
              </w:rPr>
            </w:pPr>
            <w:r>
              <w:rPr>
                <w:rFonts w:ascii="Arial" w:cs="Arial" w:eastAsia="Arial" w:hAnsi="Arial"/>
                <w:sz w:val="15"/>
                <w:szCs w:val="15"/>
                <w:b w:val="1"/>
                <w:bCs w:val="1"/>
                <w:color w:val="FFFFFF"/>
              </w:rPr>
              <w:t>and</w:t>
            </w:r>
          </w:p>
        </w:tc>
        <w:tc>
          <w:tcPr>
            <w:tcW w:w="1040" w:type="dxa"/>
            <w:vAlign w:val="bottom"/>
            <w:shd w:val="clear" w:color="auto" w:fill="0065C1"/>
          </w:tcPr>
          <w:p>
            <w:pPr>
              <w:jc w:val="center"/>
              <w:ind w:right="4"/>
              <w:spacing w:after="0" w:line="162" w:lineRule="exact"/>
              <w:rPr>
                <w:sz w:val="20"/>
                <w:szCs w:val="20"/>
                <w:color w:val="auto"/>
              </w:rPr>
            </w:pPr>
            <w:r>
              <w:rPr>
                <w:rFonts w:ascii="Arial" w:cs="Arial" w:eastAsia="Arial" w:hAnsi="Arial"/>
                <w:sz w:val="15"/>
                <w:szCs w:val="15"/>
                <w:b w:val="1"/>
                <w:bCs w:val="1"/>
                <w:color w:val="FFFFFF"/>
              </w:rPr>
              <w:t>and</w:t>
            </w:r>
          </w:p>
        </w:tc>
        <w:tc>
          <w:tcPr>
            <w:tcW w:w="1300" w:type="dxa"/>
            <w:vAlign w:val="bottom"/>
            <w:shd w:val="clear" w:color="auto" w:fill="0065C1"/>
          </w:tcPr>
          <w:p>
            <w:pPr>
              <w:jc w:val="center"/>
              <w:spacing w:after="0" w:line="162" w:lineRule="exact"/>
              <w:rPr>
                <w:sz w:val="20"/>
                <w:szCs w:val="20"/>
                <w:color w:val="auto"/>
              </w:rPr>
            </w:pPr>
            <w:r>
              <w:rPr>
                <w:rFonts w:ascii="Arial" w:cs="Arial" w:eastAsia="Arial" w:hAnsi="Arial"/>
                <w:sz w:val="15"/>
                <w:szCs w:val="15"/>
                <w:b w:val="1"/>
                <w:bCs w:val="1"/>
                <w:color w:val="FFFFFF"/>
              </w:rPr>
              <w:t>Money</w:t>
            </w:r>
          </w:p>
        </w:tc>
        <w:tc>
          <w:tcPr>
            <w:tcW w:w="1360" w:type="dxa"/>
            <w:vAlign w:val="bottom"/>
            <w:vMerge w:val="restart"/>
            <w:shd w:val="clear" w:color="auto" w:fill="0065C1"/>
          </w:tcPr>
          <w:p>
            <w:pPr>
              <w:ind w:left="240"/>
              <w:spacing w:after="0"/>
              <w:rPr>
                <w:sz w:val="20"/>
                <w:szCs w:val="20"/>
                <w:color w:val="auto"/>
              </w:rPr>
            </w:pPr>
            <w:r>
              <w:rPr>
                <w:rFonts w:ascii="Arial" w:cs="Arial" w:eastAsia="Arial" w:hAnsi="Arial"/>
                <w:sz w:val="15"/>
                <w:szCs w:val="15"/>
                <w:b w:val="1"/>
                <w:bCs w:val="1"/>
                <w:color w:val="FFFFFF"/>
              </w:rPr>
              <w:t>Compensation</w:t>
            </w:r>
          </w:p>
        </w:tc>
        <w:tc>
          <w:tcPr>
            <w:tcW w:w="0" w:type="dxa"/>
            <w:vAlign w:val="bottom"/>
          </w:tcPr>
          <w:p>
            <w:pPr>
              <w:spacing w:after="0"/>
              <w:rPr>
                <w:sz w:val="1"/>
                <w:szCs w:val="1"/>
                <w:color w:val="auto"/>
              </w:rPr>
            </w:pPr>
          </w:p>
        </w:tc>
      </w:tr>
      <w:tr>
        <w:trPr>
          <w:trHeight w:val="214"/>
        </w:trPr>
        <w:tc>
          <w:tcPr>
            <w:tcW w:w="60" w:type="dxa"/>
            <w:vAlign w:val="bottom"/>
            <w:shd w:val="clear" w:color="auto" w:fill="0065C1"/>
          </w:tcPr>
          <w:p>
            <w:pPr>
              <w:spacing w:after="0"/>
              <w:rPr>
                <w:sz w:val="18"/>
                <w:szCs w:val="18"/>
                <w:color w:val="auto"/>
              </w:rPr>
            </w:pPr>
          </w:p>
        </w:tc>
        <w:tc>
          <w:tcPr>
            <w:tcW w:w="2600" w:type="dxa"/>
            <w:vAlign w:val="bottom"/>
            <w:vMerge w:val="continue"/>
            <w:shd w:val="clear" w:color="auto" w:fill="0065C1"/>
          </w:tcPr>
          <w:p>
            <w:pPr>
              <w:spacing w:after="0"/>
              <w:rPr>
                <w:sz w:val="18"/>
                <w:szCs w:val="18"/>
                <w:color w:val="auto"/>
              </w:rPr>
            </w:pPr>
          </w:p>
        </w:tc>
        <w:tc>
          <w:tcPr>
            <w:tcW w:w="1300" w:type="dxa"/>
            <w:vAlign w:val="bottom"/>
            <w:vMerge w:val="continue"/>
            <w:shd w:val="clear" w:color="auto" w:fill="0065C1"/>
          </w:tcPr>
          <w:p>
            <w:pPr>
              <w:spacing w:after="0"/>
              <w:rPr>
                <w:sz w:val="18"/>
                <w:szCs w:val="18"/>
                <w:color w:val="auto"/>
              </w:rPr>
            </w:pPr>
          </w:p>
        </w:tc>
        <w:tc>
          <w:tcPr>
            <w:tcW w:w="1200" w:type="dxa"/>
            <w:vAlign w:val="bottom"/>
            <w:shd w:val="clear" w:color="auto" w:fill="0065C1"/>
          </w:tcPr>
          <w:p>
            <w:pPr>
              <w:jc w:val="center"/>
              <w:spacing w:after="0"/>
              <w:rPr>
                <w:sz w:val="20"/>
                <w:szCs w:val="20"/>
                <w:color w:val="auto"/>
              </w:rPr>
            </w:pPr>
            <w:r>
              <w:rPr>
                <w:rFonts w:ascii="Arial" w:cs="Arial" w:eastAsia="Arial" w:hAnsi="Arial"/>
                <w:sz w:val="15"/>
                <w:szCs w:val="15"/>
                <w:b w:val="1"/>
                <w:bCs w:val="1"/>
                <w:color w:val="FFFFFF"/>
              </w:rPr>
              <w:t>Assessment</w:t>
            </w:r>
          </w:p>
        </w:tc>
        <w:tc>
          <w:tcPr>
            <w:tcW w:w="1040" w:type="dxa"/>
            <w:vAlign w:val="bottom"/>
            <w:shd w:val="clear" w:color="auto" w:fill="0065C1"/>
          </w:tcPr>
          <w:p>
            <w:pPr>
              <w:jc w:val="center"/>
              <w:spacing w:after="0"/>
              <w:rPr>
                <w:sz w:val="20"/>
                <w:szCs w:val="20"/>
                <w:color w:val="auto"/>
              </w:rPr>
            </w:pPr>
            <w:r>
              <w:rPr>
                <w:rFonts w:ascii="Arial" w:cs="Arial" w:eastAsia="Arial" w:hAnsi="Arial"/>
                <w:sz w:val="15"/>
                <w:szCs w:val="15"/>
                <w:b w:val="1"/>
                <w:bCs w:val="1"/>
                <w:color w:val="FFFFFF"/>
              </w:rPr>
              <w:t>Business</w:t>
            </w:r>
          </w:p>
        </w:tc>
        <w:tc>
          <w:tcPr>
            <w:tcW w:w="1300" w:type="dxa"/>
            <w:vAlign w:val="bottom"/>
            <w:shd w:val="clear" w:color="auto" w:fill="0065C1"/>
          </w:tcPr>
          <w:p>
            <w:pPr>
              <w:jc w:val="center"/>
              <w:spacing w:after="0"/>
              <w:rPr>
                <w:sz w:val="20"/>
                <w:szCs w:val="20"/>
                <w:color w:val="auto"/>
              </w:rPr>
            </w:pPr>
            <w:r>
              <w:rPr>
                <w:rFonts w:ascii="Arial" w:cs="Arial" w:eastAsia="Arial" w:hAnsi="Arial"/>
                <w:sz w:val="15"/>
                <w:szCs w:val="15"/>
                <w:b w:val="1"/>
                <w:bCs w:val="1"/>
                <w:color w:val="FFFFFF"/>
              </w:rPr>
              <w:t>Laundering</w:t>
            </w:r>
          </w:p>
        </w:tc>
        <w:tc>
          <w:tcPr>
            <w:tcW w:w="1360" w:type="dxa"/>
            <w:vAlign w:val="bottom"/>
            <w:vMerge w:val="continue"/>
            <w:shd w:val="clear" w:color="auto" w:fill="0065C1"/>
          </w:tcPr>
          <w:p>
            <w:pPr>
              <w:spacing w:after="0"/>
              <w:rPr>
                <w:sz w:val="18"/>
                <w:szCs w:val="18"/>
                <w:color w:val="auto"/>
              </w:rPr>
            </w:pPr>
          </w:p>
        </w:tc>
        <w:tc>
          <w:tcPr>
            <w:tcW w:w="0" w:type="dxa"/>
            <w:vAlign w:val="bottom"/>
          </w:tcPr>
          <w:p>
            <w:pPr>
              <w:spacing w:after="0"/>
              <w:rPr>
                <w:sz w:val="1"/>
                <w:szCs w:val="1"/>
                <w:color w:val="auto"/>
              </w:rPr>
            </w:pPr>
          </w:p>
        </w:tc>
      </w:tr>
      <w:tr>
        <w:trPr>
          <w:trHeight w:val="93"/>
        </w:trPr>
        <w:tc>
          <w:tcPr>
            <w:tcW w:w="60" w:type="dxa"/>
            <w:vAlign w:val="bottom"/>
            <w:shd w:val="clear" w:color="auto" w:fill="0065C1"/>
          </w:tcPr>
          <w:p>
            <w:pPr>
              <w:spacing w:after="0"/>
              <w:rPr>
                <w:sz w:val="8"/>
                <w:szCs w:val="8"/>
                <w:color w:val="auto"/>
              </w:rPr>
            </w:pPr>
          </w:p>
        </w:tc>
        <w:tc>
          <w:tcPr>
            <w:tcW w:w="2600" w:type="dxa"/>
            <w:vAlign w:val="bottom"/>
            <w:shd w:val="clear" w:color="auto" w:fill="0065C1"/>
          </w:tcPr>
          <w:p>
            <w:pPr>
              <w:spacing w:after="0"/>
              <w:rPr>
                <w:sz w:val="8"/>
                <w:szCs w:val="8"/>
                <w:color w:val="auto"/>
              </w:rPr>
            </w:pPr>
          </w:p>
        </w:tc>
        <w:tc>
          <w:tcPr>
            <w:tcW w:w="1300" w:type="dxa"/>
            <w:vAlign w:val="bottom"/>
            <w:shd w:val="clear" w:color="auto" w:fill="0065C1"/>
          </w:tcPr>
          <w:p>
            <w:pPr>
              <w:spacing w:after="0"/>
              <w:rPr>
                <w:sz w:val="8"/>
                <w:szCs w:val="8"/>
                <w:color w:val="auto"/>
              </w:rPr>
            </w:pPr>
          </w:p>
        </w:tc>
        <w:tc>
          <w:tcPr>
            <w:tcW w:w="1200" w:type="dxa"/>
            <w:vAlign w:val="bottom"/>
            <w:shd w:val="clear" w:color="auto" w:fill="0065C1"/>
          </w:tcPr>
          <w:p>
            <w:pPr>
              <w:spacing w:after="0"/>
              <w:rPr>
                <w:sz w:val="8"/>
                <w:szCs w:val="8"/>
                <w:color w:val="auto"/>
              </w:rPr>
            </w:pPr>
          </w:p>
        </w:tc>
        <w:tc>
          <w:tcPr>
            <w:tcW w:w="1040" w:type="dxa"/>
            <w:vAlign w:val="bottom"/>
            <w:shd w:val="clear" w:color="auto" w:fill="0065C1"/>
          </w:tcPr>
          <w:p>
            <w:pPr>
              <w:spacing w:after="0"/>
              <w:rPr>
                <w:sz w:val="8"/>
                <w:szCs w:val="8"/>
                <w:color w:val="auto"/>
              </w:rPr>
            </w:pPr>
          </w:p>
        </w:tc>
        <w:tc>
          <w:tcPr>
            <w:tcW w:w="1300" w:type="dxa"/>
            <w:vAlign w:val="bottom"/>
            <w:shd w:val="clear" w:color="auto" w:fill="0065C1"/>
          </w:tcPr>
          <w:p>
            <w:pPr>
              <w:spacing w:after="0"/>
              <w:rPr>
                <w:sz w:val="8"/>
                <w:szCs w:val="8"/>
                <w:color w:val="auto"/>
              </w:rPr>
            </w:pPr>
          </w:p>
        </w:tc>
        <w:tc>
          <w:tcPr>
            <w:tcW w:w="1360" w:type="dxa"/>
            <w:vAlign w:val="bottom"/>
            <w:shd w:val="clear" w:color="auto" w:fill="0065C1"/>
          </w:tcPr>
          <w:p>
            <w:pPr>
              <w:spacing w:after="0"/>
              <w:rPr>
                <w:sz w:val="8"/>
                <w:szCs w:val="8"/>
                <w:color w:val="auto"/>
              </w:rPr>
            </w:pPr>
          </w:p>
        </w:tc>
        <w:tc>
          <w:tcPr>
            <w:tcW w:w="0" w:type="dxa"/>
            <w:vAlign w:val="bottom"/>
          </w:tcPr>
          <w:p>
            <w:pPr>
              <w:spacing w:after="0"/>
              <w:rPr>
                <w:sz w:val="1"/>
                <w:szCs w:val="1"/>
                <w:color w:val="auto"/>
              </w:rPr>
            </w:pPr>
          </w:p>
        </w:tc>
      </w:tr>
      <w:tr>
        <w:trPr>
          <w:trHeight w:val="316"/>
        </w:trPr>
        <w:tc>
          <w:tcPr>
            <w:tcW w:w="60" w:type="dxa"/>
            <w:vAlign w:val="bottom"/>
            <w:shd w:val="clear" w:color="auto" w:fill="D7E7F5"/>
          </w:tcPr>
          <w:p>
            <w:pPr>
              <w:spacing w:after="0"/>
              <w:rPr>
                <w:sz w:val="24"/>
                <w:szCs w:val="24"/>
                <w:color w:val="auto"/>
              </w:rPr>
            </w:pPr>
          </w:p>
        </w:tc>
        <w:tc>
          <w:tcPr>
            <w:tcW w:w="2600" w:type="dxa"/>
            <w:vAlign w:val="bottom"/>
            <w:shd w:val="clear" w:color="auto" w:fill="D7E7F5"/>
          </w:tcPr>
          <w:p>
            <w:pPr>
              <w:ind w:left="40"/>
              <w:spacing w:after="0"/>
              <w:rPr>
                <w:sz w:val="20"/>
                <w:szCs w:val="20"/>
                <w:color w:val="auto"/>
              </w:rPr>
            </w:pPr>
            <w:r>
              <w:rPr>
                <w:rFonts w:ascii="Arial" w:cs="Arial" w:eastAsia="Arial" w:hAnsi="Arial"/>
                <w:sz w:val="16"/>
                <w:szCs w:val="16"/>
                <w:b w:val="1"/>
                <w:bCs w:val="1"/>
                <w:color w:val="auto"/>
              </w:rPr>
              <w:t>Alexandra M. Aguirre</w:t>
            </w:r>
          </w:p>
        </w:tc>
        <w:tc>
          <w:tcPr>
            <w:tcW w:w="1300" w:type="dxa"/>
            <w:vAlign w:val="bottom"/>
            <w:shd w:val="clear" w:color="auto" w:fill="D7E7F5"/>
          </w:tcPr>
          <w:p>
            <w:pPr>
              <w:spacing w:after="0"/>
              <w:rPr>
                <w:sz w:val="24"/>
                <w:szCs w:val="24"/>
                <w:color w:val="auto"/>
              </w:rPr>
            </w:pPr>
          </w:p>
        </w:tc>
        <w:tc>
          <w:tcPr>
            <w:tcW w:w="1200" w:type="dxa"/>
            <w:vAlign w:val="bottom"/>
            <w:shd w:val="clear" w:color="auto" w:fill="D7E7F5"/>
          </w:tcPr>
          <w:p>
            <w:pPr>
              <w:spacing w:after="0"/>
              <w:rPr>
                <w:sz w:val="24"/>
                <w:szCs w:val="24"/>
                <w:color w:val="auto"/>
              </w:rPr>
            </w:pPr>
          </w:p>
        </w:tc>
        <w:tc>
          <w:tcPr>
            <w:tcW w:w="1040" w:type="dxa"/>
            <w:vAlign w:val="bottom"/>
            <w:shd w:val="clear" w:color="auto" w:fill="D7E7F5"/>
          </w:tcPr>
          <w:p>
            <w:pPr>
              <w:spacing w:after="0"/>
              <w:rPr>
                <w:sz w:val="24"/>
                <w:szCs w:val="24"/>
                <w:color w:val="auto"/>
              </w:rPr>
            </w:pPr>
          </w:p>
        </w:tc>
        <w:tc>
          <w:tcPr>
            <w:tcW w:w="1300" w:type="dxa"/>
            <w:vAlign w:val="bottom"/>
            <w:shd w:val="clear" w:color="auto" w:fill="D7E7F5"/>
          </w:tcPr>
          <w:p>
            <w:pPr>
              <w:spacing w:after="0"/>
              <w:rPr>
                <w:sz w:val="24"/>
                <w:szCs w:val="24"/>
                <w:color w:val="auto"/>
              </w:rPr>
            </w:pPr>
          </w:p>
        </w:tc>
        <w:tc>
          <w:tcPr>
            <w:tcW w:w="1360" w:type="dxa"/>
            <w:vAlign w:val="bottom"/>
            <w:shd w:val="clear" w:color="auto" w:fill="D7E7F5"/>
          </w:tcPr>
          <w:p>
            <w:pPr>
              <w:spacing w:after="0"/>
              <w:rPr>
                <w:sz w:val="24"/>
                <w:szCs w:val="24"/>
                <w:color w:val="auto"/>
              </w:rPr>
            </w:pPr>
          </w:p>
        </w:tc>
        <w:tc>
          <w:tcPr>
            <w:tcW w:w="0" w:type="dxa"/>
            <w:vAlign w:val="bottom"/>
          </w:tcPr>
          <w:p>
            <w:pPr>
              <w:spacing w:after="0"/>
              <w:rPr>
                <w:sz w:val="1"/>
                <w:szCs w:val="1"/>
                <w:color w:val="auto"/>
              </w:rPr>
            </w:pPr>
          </w:p>
        </w:tc>
      </w:tr>
      <w:tr>
        <w:trPr>
          <w:trHeight w:val="129"/>
        </w:trPr>
        <w:tc>
          <w:tcPr>
            <w:tcW w:w="60" w:type="dxa"/>
            <w:vAlign w:val="bottom"/>
            <w:shd w:val="clear" w:color="auto" w:fill="D7E7F5"/>
          </w:tcPr>
          <w:p>
            <w:pPr>
              <w:spacing w:after="0"/>
              <w:rPr>
                <w:sz w:val="11"/>
                <w:szCs w:val="11"/>
                <w:color w:val="auto"/>
              </w:rPr>
            </w:pPr>
          </w:p>
        </w:tc>
        <w:tc>
          <w:tcPr>
            <w:tcW w:w="2600" w:type="dxa"/>
            <w:vAlign w:val="bottom"/>
            <w:shd w:val="clear" w:color="auto" w:fill="D7E7F5"/>
          </w:tcPr>
          <w:p>
            <w:pPr>
              <w:spacing w:after="0"/>
              <w:rPr>
                <w:sz w:val="11"/>
                <w:szCs w:val="11"/>
                <w:color w:val="auto"/>
              </w:rPr>
            </w:pPr>
          </w:p>
        </w:tc>
        <w:tc>
          <w:tcPr>
            <w:tcW w:w="1300" w:type="dxa"/>
            <w:vAlign w:val="bottom"/>
            <w:shd w:val="clear" w:color="auto" w:fill="D7E7F5"/>
          </w:tcPr>
          <w:p>
            <w:pPr>
              <w:spacing w:after="0"/>
              <w:rPr>
                <w:sz w:val="11"/>
                <w:szCs w:val="11"/>
                <w:color w:val="auto"/>
              </w:rPr>
            </w:pPr>
          </w:p>
        </w:tc>
        <w:tc>
          <w:tcPr>
            <w:tcW w:w="1200" w:type="dxa"/>
            <w:vAlign w:val="bottom"/>
            <w:shd w:val="clear" w:color="auto" w:fill="D7E7F5"/>
          </w:tcPr>
          <w:p>
            <w:pPr>
              <w:spacing w:after="0"/>
              <w:rPr>
                <w:sz w:val="11"/>
                <w:szCs w:val="11"/>
                <w:color w:val="auto"/>
              </w:rPr>
            </w:pPr>
          </w:p>
        </w:tc>
        <w:tc>
          <w:tcPr>
            <w:tcW w:w="1040" w:type="dxa"/>
            <w:vAlign w:val="bottom"/>
            <w:shd w:val="clear" w:color="auto" w:fill="D7E7F5"/>
          </w:tcPr>
          <w:p>
            <w:pPr>
              <w:spacing w:after="0"/>
              <w:rPr>
                <w:sz w:val="11"/>
                <w:szCs w:val="11"/>
                <w:color w:val="auto"/>
              </w:rPr>
            </w:pPr>
          </w:p>
        </w:tc>
        <w:tc>
          <w:tcPr>
            <w:tcW w:w="1300" w:type="dxa"/>
            <w:vAlign w:val="bottom"/>
            <w:shd w:val="clear" w:color="auto" w:fill="D7E7F5"/>
          </w:tcPr>
          <w:p>
            <w:pPr>
              <w:spacing w:after="0"/>
              <w:rPr>
                <w:sz w:val="11"/>
                <w:szCs w:val="11"/>
                <w:color w:val="auto"/>
              </w:rPr>
            </w:pPr>
          </w:p>
        </w:tc>
        <w:tc>
          <w:tcPr>
            <w:tcW w:w="1360" w:type="dxa"/>
            <w:vAlign w:val="bottom"/>
            <w:shd w:val="clear" w:color="auto" w:fill="D7E7F5"/>
          </w:tcPr>
          <w:p>
            <w:pPr>
              <w:spacing w:after="0"/>
              <w:rPr>
                <w:sz w:val="11"/>
                <w:szCs w:val="11"/>
                <w:color w:val="auto"/>
              </w:rPr>
            </w:pPr>
          </w:p>
        </w:tc>
        <w:tc>
          <w:tcPr>
            <w:tcW w:w="0" w:type="dxa"/>
            <w:vAlign w:val="bottom"/>
          </w:tcPr>
          <w:p>
            <w:pPr>
              <w:spacing w:after="0"/>
              <w:rPr>
                <w:sz w:val="1"/>
                <w:szCs w:val="1"/>
                <w:color w:val="auto"/>
              </w:rPr>
            </w:pPr>
          </w:p>
        </w:tc>
      </w:tr>
      <w:tr>
        <w:trPr>
          <w:trHeight w:val="316"/>
        </w:trPr>
        <w:tc>
          <w:tcPr>
            <w:tcW w:w="60" w:type="dxa"/>
            <w:vAlign w:val="bottom"/>
          </w:tcPr>
          <w:p>
            <w:pPr>
              <w:spacing w:after="0"/>
              <w:rPr>
                <w:sz w:val="24"/>
                <w:szCs w:val="24"/>
                <w:color w:val="auto"/>
              </w:rPr>
            </w:pPr>
          </w:p>
        </w:tc>
        <w:tc>
          <w:tcPr>
            <w:tcW w:w="2600" w:type="dxa"/>
            <w:vAlign w:val="bottom"/>
          </w:tcPr>
          <w:p>
            <w:pPr>
              <w:ind w:left="40"/>
              <w:spacing w:after="0"/>
              <w:rPr>
                <w:sz w:val="20"/>
                <w:szCs w:val="20"/>
                <w:color w:val="auto"/>
              </w:rPr>
            </w:pPr>
            <w:r>
              <w:rPr>
                <w:rFonts w:ascii="Arial" w:cs="Arial" w:eastAsia="Arial" w:hAnsi="Arial"/>
                <w:sz w:val="16"/>
                <w:szCs w:val="16"/>
                <w:b w:val="1"/>
                <w:bCs w:val="1"/>
                <w:color w:val="auto"/>
              </w:rPr>
              <w:t>Ricardo Manuel Arango</w:t>
            </w:r>
          </w:p>
        </w:tc>
        <w:tc>
          <w:tcPr>
            <w:tcW w:w="130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9"/>
        </w:trPr>
        <w:tc>
          <w:tcPr>
            <w:tcW w:w="60" w:type="dxa"/>
            <w:vAlign w:val="bottom"/>
          </w:tcPr>
          <w:p>
            <w:pPr>
              <w:spacing w:after="0"/>
              <w:rPr>
                <w:sz w:val="11"/>
                <w:szCs w:val="11"/>
                <w:color w:val="auto"/>
              </w:rPr>
            </w:pPr>
          </w:p>
        </w:tc>
        <w:tc>
          <w:tcPr>
            <w:tcW w:w="260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120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13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17"/>
        </w:trPr>
        <w:tc>
          <w:tcPr>
            <w:tcW w:w="60" w:type="dxa"/>
            <w:vAlign w:val="bottom"/>
            <w:shd w:val="clear" w:color="auto" w:fill="D7E7F5"/>
          </w:tcPr>
          <w:p>
            <w:pPr>
              <w:spacing w:after="0"/>
              <w:rPr>
                <w:sz w:val="24"/>
                <w:szCs w:val="24"/>
                <w:color w:val="auto"/>
              </w:rPr>
            </w:pPr>
          </w:p>
        </w:tc>
        <w:tc>
          <w:tcPr>
            <w:tcW w:w="2600" w:type="dxa"/>
            <w:vAlign w:val="bottom"/>
            <w:shd w:val="clear" w:color="auto" w:fill="D7E7F5"/>
          </w:tcPr>
          <w:p>
            <w:pPr>
              <w:ind w:left="40"/>
              <w:spacing w:after="0"/>
              <w:rPr>
                <w:sz w:val="20"/>
                <w:szCs w:val="20"/>
                <w:color w:val="auto"/>
              </w:rPr>
            </w:pPr>
            <w:r>
              <w:rPr>
                <w:rFonts w:ascii="Arial" w:cs="Arial" w:eastAsia="Arial" w:hAnsi="Arial"/>
                <w:sz w:val="16"/>
                <w:szCs w:val="16"/>
                <w:b w:val="1"/>
                <w:bCs w:val="1"/>
                <w:color w:val="auto"/>
              </w:rPr>
              <w:t>Herminio A. Blanco</w:t>
            </w:r>
          </w:p>
        </w:tc>
        <w:tc>
          <w:tcPr>
            <w:tcW w:w="1300" w:type="dxa"/>
            <w:vAlign w:val="bottom"/>
            <w:shd w:val="clear" w:color="auto" w:fill="D7E7F5"/>
          </w:tcPr>
          <w:p>
            <w:pPr>
              <w:spacing w:after="0"/>
              <w:rPr>
                <w:sz w:val="24"/>
                <w:szCs w:val="24"/>
                <w:color w:val="auto"/>
              </w:rPr>
            </w:pPr>
          </w:p>
        </w:tc>
        <w:tc>
          <w:tcPr>
            <w:tcW w:w="1200" w:type="dxa"/>
            <w:vAlign w:val="bottom"/>
            <w:shd w:val="clear" w:color="auto" w:fill="D7E7F5"/>
          </w:tcPr>
          <w:p>
            <w:pPr>
              <w:spacing w:after="0"/>
              <w:rPr>
                <w:sz w:val="24"/>
                <w:szCs w:val="24"/>
                <w:color w:val="auto"/>
              </w:rPr>
            </w:pPr>
          </w:p>
        </w:tc>
        <w:tc>
          <w:tcPr>
            <w:tcW w:w="1040" w:type="dxa"/>
            <w:vAlign w:val="bottom"/>
            <w:shd w:val="clear" w:color="auto" w:fill="D7E7F5"/>
          </w:tcPr>
          <w:p>
            <w:pPr>
              <w:spacing w:after="0"/>
              <w:rPr>
                <w:sz w:val="24"/>
                <w:szCs w:val="24"/>
                <w:color w:val="auto"/>
              </w:rPr>
            </w:pPr>
          </w:p>
        </w:tc>
        <w:tc>
          <w:tcPr>
            <w:tcW w:w="1300" w:type="dxa"/>
            <w:vAlign w:val="bottom"/>
            <w:shd w:val="clear" w:color="auto" w:fill="D7E7F5"/>
          </w:tcPr>
          <w:p>
            <w:pPr>
              <w:spacing w:after="0"/>
              <w:rPr>
                <w:sz w:val="24"/>
                <w:szCs w:val="24"/>
                <w:color w:val="auto"/>
              </w:rPr>
            </w:pPr>
          </w:p>
        </w:tc>
        <w:tc>
          <w:tcPr>
            <w:tcW w:w="1360" w:type="dxa"/>
            <w:vAlign w:val="bottom"/>
            <w:shd w:val="clear" w:color="auto" w:fill="D7E7F5"/>
          </w:tcPr>
          <w:p>
            <w:pPr>
              <w:spacing w:after="0"/>
              <w:rPr>
                <w:sz w:val="24"/>
                <w:szCs w:val="24"/>
                <w:color w:val="auto"/>
              </w:rPr>
            </w:pPr>
          </w:p>
        </w:tc>
        <w:tc>
          <w:tcPr>
            <w:tcW w:w="0" w:type="dxa"/>
            <w:vAlign w:val="bottom"/>
          </w:tcPr>
          <w:p>
            <w:pPr>
              <w:spacing w:after="0"/>
              <w:rPr>
                <w:sz w:val="1"/>
                <w:szCs w:val="1"/>
                <w:color w:val="auto"/>
              </w:rPr>
            </w:pPr>
          </w:p>
        </w:tc>
      </w:tr>
      <w:tr>
        <w:trPr>
          <w:trHeight w:val="129"/>
        </w:trPr>
        <w:tc>
          <w:tcPr>
            <w:tcW w:w="60" w:type="dxa"/>
            <w:vAlign w:val="bottom"/>
            <w:shd w:val="clear" w:color="auto" w:fill="D7E7F5"/>
          </w:tcPr>
          <w:p>
            <w:pPr>
              <w:spacing w:after="0"/>
              <w:rPr>
                <w:sz w:val="11"/>
                <w:szCs w:val="11"/>
                <w:color w:val="auto"/>
              </w:rPr>
            </w:pPr>
          </w:p>
        </w:tc>
        <w:tc>
          <w:tcPr>
            <w:tcW w:w="2600" w:type="dxa"/>
            <w:vAlign w:val="bottom"/>
            <w:shd w:val="clear" w:color="auto" w:fill="D7E7F5"/>
          </w:tcPr>
          <w:p>
            <w:pPr>
              <w:spacing w:after="0"/>
              <w:rPr>
                <w:sz w:val="11"/>
                <w:szCs w:val="11"/>
                <w:color w:val="auto"/>
              </w:rPr>
            </w:pPr>
          </w:p>
        </w:tc>
        <w:tc>
          <w:tcPr>
            <w:tcW w:w="1300" w:type="dxa"/>
            <w:vAlign w:val="bottom"/>
            <w:shd w:val="clear" w:color="auto" w:fill="D7E7F5"/>
          </w:tcPr>
          <w:p>
            <w:pPr>
              <w:spacing w:after="0"/>
              <w:rPr>
                <w:sz w:val="11"/>
                <w:szCs w:val="11"/>
                <w:color w:val="auto"/>
              </w:rPr>
            </w:pPr>
          </w:p>
        </w:tc>
        <w:tc>
          <w:tcPr>
            <w:tcW w:w="1200" w:type="dxa"/>
            <w:vAlign w:val="bottom"/>
            <w:shd w:val="clear" w:color="auto" w:fill="D7E7F5"/>
          </w:tcPr>
          <w:p>
            <w:pPr>
              <w:spacing w:after="0"/>
              <w:rPr>
                <w:sz w:val="11"/>
                <w:szCs w:val="11"/>
                <w:color w:val="auto"/>
              </w:rPr>
            </w:pPr>
          </w:p>
        </w:tc>
        <w:tc>
          <w:tcPr>
            <w:tcW w:w="1040" w:type="dxa"/>
            <w:vAlign w:val="bottom"/>
            <w:shd w:val="clear" w:color="auto" w:fill="D7E7F5"/>
          </w:tcPr>
          <w:p>
            <w:pPr>
              <w:spacing w:after="0"/>
              <w:rPr>
                <w:sz w:val="11"/>
                <w:szCs w:val="11"/>
                <w:color w:val="auto"/>
              </w:rPr>
            </w:pPr>
          </w:p>
        </w:tc>
        <w:tc>
          <w:tcPr>
            <w:tcW w:w="1300" w:type="dxa"/>
            <w:vAlign w:val="bottom"/>
            <w:shd w:val="clear" w:color="auto" w:fill="D7E7F5"/>
          </w:tcPr>
          <w:p>
            <w:pPr>
              <w:spacing w:after="0"/>
              <w:rPr>
                <w:sz w:val="11"/>
                <w:szCs w:val="11"/>
                <w:color w:val="auto"/>
              </w:rPr>
            </w:pPr>
          </w:p>
        </w:tc>
        <w:tc>
          <w:tcPr>
            <w:tcW w:w="1360" w:type="dxa"/>
            <w:vAlign w:val="bottom"/>
            <w:shd w:val="clear" w:color="auto" w:fill="D7E7F5"/>
          </w:tcPr>
          <w:p>
            <w:pPr>
              <w:spacing w:after="0"/>
              <w:rPr>
                <w:sz w:val="11"/>
                <w:szCs w:val="11"/>
                <w:color w:val="auto"/>
              </w:rPr>
            </w:pPr>
          </w:p>
        </w:tc>
        <w:tc>
          <w:tcPr>
            <w:tcW w:w="0" w:type="dxa"/>
            <w:vAlign w:val="bottom"/>
          </w:tcPr>
          <w:p>
            <w:pPr>
              <w:spacing w:after="0"/>
              <w:rPr>
                <w:sz w:val="1"/>
                <w:szCs w:val="1"/>
                <w:color w:val="auto"/>
              </w:rPr>
            </w:pPr>
          </w:p>
        </w:tc>
      </w:tr>
      <w:tr>
        <w:trPr>
          <w:trHeight w:val="317"/>
        </w:trPr>
        <w:tc>
          <w:tcPr>
            <w:tcW w:w="60" w:type="dxa"/>
            <w:vAlign w:val="bottom"/>
          </w:tcPr>
          <w:p>
            <w:pPr>
              <w:spacing w:after="0"/>
              <w:rPr>
                <w:sz w:val="24"/>
                <w:szCs w:val="24"/>
                <w:color w:val="auto"/>
              </w:rPr>
            </w:pPr>
          </w:p>
        </w:tc>
        <w:tc>
          <w:tcPr>
            <w:tcW w:w="2600" w:type="dxa"/>
            <w:vAlign w:val="bottom"/>
          </w:tcPr>
          <w:p>
            <w:pPr>
              <w:ind w:left="40"/>
              <w:spacing w:after="0"/>
              <w:rPr>
                <w:sz w:val="20"/>
                <w:szCs w:val="20"/>
                <w:color w:val="auto"/>
              </w:rPr>
            </w:pPr>
            <w:r>
              <w:rPr>
                <w:rFonts w:ascii="Arial" w:cs="Arial" w:eastAsia="Arial" w:hAnsi="Arial"/>
                <w:sz w:val="16"/>
                <w:szCs w:val="16"/>
                <w:b w:val="1"/>
                <w:bCs w:val="1"/>
                <w:color w:val="auto"/>
              </w:rPr>
              <w:t>Isela Costantini</w:t>
            </w:r>
          </w:p>
        </w:tc>
        <w:tc>
          <w:tcPr>
            <w:tcW w:w="130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9"/>
        </w:trPr>
        <w:tc>
          <w:tcPr>
            <w:tcW w:w="60" w:type="dxa"/>
            <w:vAlign w:val="bottom"/>
          </w:tcPr>
          <w:p>
            <w:pPr>
              <w:spacing w:after="0"/>
              <w:rPr>
                <w:sz w:val="11"/>
                <w:szCs w:val="11"/>
                <w:color w:val="auto"/>
              </w:rPr>
            </w:pPr>
          </w:p>
        </w:tc>
        <w:tc>
          <w:tcPr>
            <w:tcW w:w="260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120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13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17"/>
        </w:trPr>
        <w:tc>
          <w:tcPr>
            <w:tcW w:w="60" w:type="dxa"/>
            <w:vAlign w:val="bottom"/>
            <w:shd w:val="clear" w:color="auto" w:fill="D7E7F5"/>
          </w:tcPr>
          <w:p>
            <w:pPr>
              <w:spacing w:after="0"/>
              <w:rPr>
                <w:sz w:val="24"/>
                <w:szCs w:val="24"/>
                <w:color w:val="auto"/>
              </w:rPr>
            </w:pPr>
          </w:p>
        </w:tc>
        <w:tc>
          <w:tcPr>
            <w:tcW w:w="2600" w:type="dxa"/>
            <w:vAlign w:val="bottom"/>
            <w:shd w:val="clear" w:color="auto" w:fill="D7E7F5"/>
          </w:tcPr>
          <w:p>
            <w:pPr>
              <w:ind w:left="40"/>
              <w:spacing w:after="0"/>
              <w:rPr>
                <w:sz w:val="20"/>
                <w:szCs w:val="20"/>
                <w:color w:val="auto"/>
              </w:rPr>
            </w:pPr>
            <w:r>
              <w:rPr>
                <w:rFonts w:ascii="Arial" w:cs="Arial" w:eastAsia="Arial" w:hAnsi="Arial"/>
                <w:sz w:val="16"/>
                <w:szCs w:val="16"/>
                <w:b w:val="1"/>
                <w:bCs w:val="1"/>
                <w:color w:val="auto"/>
              </w:rPr>
              <w:t>Mario Covo</w:t>
            </w:r>
          </w:p>
        </w:tc>
        <w:tc>
          <w:tcPr>
            <w:tcW w:w="1300" w:type="dxa"/>
            <w:vAlign w:val="bottom"/>
            <w:shd w:val="clear" w:color="auto" w:fill="D7E7F5"/>
          </w:tcPr>
          <w:p>
            <w:pPr>
              <w:spacing w:after="0"/>
              <w:rPr>
                <w:sz w:val="24"/>
                <w:szCs w:val="24"/>
                <w:color w:val="auto"/>
              </w:rPr>
            </w:pPr>
          </w:p>
        </w:tc>
        <w:tc>
          <w:tcPr>
            <w:tcW w:w="1200" w:type="dxa"/>
            <w:vAlign w:val="bottom"/>
            <w:shd w:val="clear" w:color="auto" w:fill="D7E7F5"/>
          </w:tcPr>
          <w:p>
            <w:pPr>
              <w:spacing w:after="0"/>
              <w:rPr>
                <w:sz w:val="24"/>
                <w:szCs w:val="24"/>
                <w:color w:val="auto"/>
              </w:rPr>
            </w:pPr>
          </w:p>
        </w:tc>
        <w:tc>
          <w:tcPr>
            <w:tcW w:w="1040" w:type="dxa"/>
            <w:vAlign w:val="bottom"/>
            <w:shd w:val="clear" w:color="auto" w:fill="D7E7F5"/>
          </w:tcPr>
          <w:p>
            <w:pPr>
              <w:spacing w:after="0"/>
              <w:rPr>
                <w:sz w:val="24"/>
                <w:szCs w:val="24"/>
                <w:color w:val="auto"/>
              </w:rPr>
            </w:pPr>
          </w:p>
        </w:tc>
        <w:tc>
          <w:tcPr>
            <w:tcW w:w="1300" w:type="dxa"/>
            <w:vAlign w:val="bottom"/>
            <w:shd w:val="clear" w:color="auto" w:fill="D7E7F5"/>
          </w:tcPr>
          <w:p>
            <w:pPr>
              <w:spacing w:after="0"/>
              <w:rPr>
                <w:sz w:val="24"/>
                <w:szCs w:val="24"/>
                <w:color w:val="auto"/>
              </w:rPr>
            </w:pPr>
          </w:p>
        </w:tc>
        <w:tc>
          <w:tcPr>
            <w:tcW w:w="1360" w:type="dxa"/>
            <w:vAlign w:val="bottom"/>
            <w:shd w:val="clear" w:color="auto" w:fill="D7E7F5"/>
          </w:tcPr>
          <w:p>
            <w:pPr>
              <w:spacing w:after="0"/>
              <w:rPr>
                <w:sz w:val="24"/>
                <w:szCs w:val="24"/>
                <w:color w:val="auto"/>
              </w:rPr>
            </w:pPr>
          </w:p>
        </w:tc>
        <w:tc>
          <w:tcPr>
            <w:tcW w:w="0" w:type="dxa"/>
            <w:vAlign w:val="bottom"/>
          </w:tcPr>
          <w:p>
            <w:pPr>
              <w:spacing w:after="0"/>
              <w:rPr>
                <w:sz w:val="1"/>
                <w:szCs w:val="1"/>
                <w:color w:val="auto"/>
              </w:rPr>
            </w:pPr>
          </w:p>
        </w:tc>
      </w:tr>
      <w:tr>
        <w:trPr>
          <w:trHeight w:val="129"/>
        </w:trPr>
        <w:tc>
          <w:tcPr>
            <w:tcW w:w="60" w:type="dxa"/>
            <w:vAlign w:val="bottom"/>
            <w:shd w:val="clear" w:color="auto" w:fill="D7E7F5"/>
          </w:tcPr>
          <w:p>
            <w:pPr>
              <w:spacing w:after="0"/>
              <w:rPr>
                <w:sz w:val="11"/>
                <w:szCs w:val="11"/>
                <w:color w:val="auto"/>
              </w:rPr>
            </w:pPr>
          </w:p>
        </w:tc>
        <w:tc>
          <w:tcPr>
            <w:tcW w:w="2600" w:type="dxa"/>
            <w:vAlign w:val="bottom"/>
            <w:shd w:val="clear" w:color="auto" w:fill="D7E7F5"/>
          </w:tcPr>
          <w:p>
            <w:pPr>
              <w:spacing w:after="0"/>
              <w:rPr>
                <w:sz w:val="11"/>
                <w:szCs w:val="11"/>
                <w:color w:val="auto"/>
              </w:rPr>
            </w:pPr>
          </w:p>
        </w:tc>
        <w:tc>
          <w:tcPr>
            <w:tcW w:w="1300" w:type="dxa"/>
            <w:vAlign w:val="bottom"/>
            <w:shd w:val="clear" w:color="auto" w:fill="D7E7F5"/>
          </w:tcPr>
          <w:p>
            <w:pPr>
              <w:spacing w:after="0"/>
              <w:rPr>
                <w:sz w:val="11"/>
                <w:szCs w:val="11"/>
                <w:color w:val="auto"/>
              </w:rPr>
            </w:pPr>
          </w:p>
        </w:tc>
        <w:tc>
          <w:tcPr>
            <w:tcW w:w="1200" w:type="dxa"/>
            <w:vAlign w:val="bottom"/>
            <w:shd w:val="clear" w:color="auto" w:fill="D7E7F5"/>
          </w:tcPr>
          <w:p>
            <w:pPr>
              <w:spacing w:after="0"/>
              <w:rPr>
                <w:sz w:val="11"/>
                <w:szCs w:val="11"/>
                <w:color w:val="auto"/>
              </w:rPr>
            </w:pPr>
          </w:p>
        </w:tc>
        <w:tc>
          <w:tcPr>
            <w:tcW w:w="1040" w:type="dxa"/>
            <w:vAlign w:val="bottom"/>
            <w:shd w:val="clear" w:color="auto" w:fill="D7E7F5"/>
          </w:tcPr>
          <w:p>
            <w:pPr>
              <w:spacing w:after="0"/>
              <w:rPr>
                <w:sz w:val="11"/>
                <w:szCs w:val="11"/>
                <w:color w:val="auto"/>
              </w:rPr>
            </w:pPr>
          </w:p>
        </w:tc>
        <w:tc>
          <w:tcPr>
            <w:tcW w:w="1300" w:type="dxa"/>
            <w:vAlign w:val="bottom"/>
            <w:shd w:val="clear" w:color="auto" w:fill="D7E7F5"/>
          </w:tcPr>
          <w:p>
            <w:pPr>
              <w:spacing w:after="0"/>
              <w:rPr>
                <w:sz w:val="11"/>
                <w:szCs w:val="11"/>
                <w:color w:val="auto"/>
              </w:rPr>
            </w:pPr>
          </w:p>
        </w:tc>
        <w:tc>
          <w:tcPr>
            <w:tcW w:w="1360" w:type="dxa"/>
            <w:vAlign w:val="bottom"/>
            <w:shd w:val="clear" w:color="auto" w:fill="D7E7F5"/>
          </w:tcPr>
          <w:p>
            <w:pPr>
              <w:spacing w:after="0"/>
              <w:rPr>
                <w:sz w:val="11"/>
                <w:szCs w:val="11"/>
                <w:color w:val="auto"/>
              </w:rPr>
            </w:pPr>
          </w:p>
        </w:tc>
        <w:tc>
          <w:tcPr>
            <w:tcW w:w="0" w:type="dxa"/>
            <w:vAlign w:val="bottom"/>
          </w:tcPr>
          <w:p>
            <w:pPr>
              <w:spacing w:after="0"/>
              <w:rPr>
                <w:sz w:val="1"/>
                <w:szCs w:val="1"/>
                <w:color w:val="auto"/>
              </w:rPr>
            </w:pPr>
          </w:p>
        </w:tc>
      </w:tr>
      <w:tr>
        <w:trPr>
          <w:trHeight w:val="316"/>
        </w:trPr>
        <w:tc>
          <w:tcPr>
            <w:tcW w:w="60" w:type="dxa"/>
            <w:vAlign w:val="bottom"/>
          </w:tcPr>
          <w:p>
            <w:pPr>
              <w:spacing w:after="0"/>
              <w:rPr>
                <w:sz w:val="24"/>
                <w:szCs w:val="24"/>
                <w:color w:val="auto"/>
              </w:rPr>
            </w:pPr>
          </w:p>
        </w:tc>
        <w:tc>
          <w:tcPr>
            <w:tcW w:w="2600" w:type="dxa"/>
            <w:vAlign w:val="bottom"/>
          </w:tcPr>
          <w:p>
            <w:pPr>
              <w:ind w:left="40"/>
              <w:spacing w:after="0"/>
              <w:rPr>
                <w:sz w:val="20"/>
                <w:szCs w:val="20"/>
                <w:color w:val="auto"/>
              </w:rPr>
            </w:pPr>
            <w:r>
              <w:rPr>
                <w:rFonts w:ascii="Arial" w:cs="Arial" w:eastAsia="Arial" w:hAnsi="Arial"/>
                <w:sz w:val="16"/>
                <w:szCs w:val="16"/>
                <w:b w:val="1"/>
                <w:bCs w:val="1"/>
                <w:color w:val="auto"/>
              </w:rPr>
              <w:t>José Alberto Garzón</w:t>
            </w:r>
          </w:p>
        </w:tc>
        <w:tc>
          <w:tcPr>
            <w:tcW w:w="130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9"/>
        </w:trPr>
        <w:tc>
          <w:tcPr>
            <w:tcW w:w="60" w:type="dxa"/>
            <w:vAlign w:val="bottom"/>
          </w:tcPr>
          <w:p>
            <w:pPr>
              <w:spacing w:after="0"/>
              <w:rPr>
                <w:sz w:val="11"/>
                <w:szCs w:val="11"/>
                <w:color w:val="auto"/>
              </w:rPr>
            </w:pPr>
          </w:p>
        </w:tc>
        <w:tc>
          <w:tcPr>
            <w:tcW w:w="260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120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13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16"/>
        </w:trPr>
        <w:tc>
          <w:tcPr>
            <w:tcW w:w="60" w:type="dxa"/>
            <w:vAlign w:val="bottom"/>
            <w:shd w:val="clear" w:color="auto" w:fill="D7E7F5"/>
          </w:tcPr>
          <w:p>
            <w:pPr>
              <w:spacing w:after="0"/>
              <w:rPr>
                <w:sz w:val="24"/>
                <w:szCs w:val="24"/>
                <w:color w:val="auto"/>
              </w:rPr>
            </w:pPr>
          </w:p>
        </w:tc>
        <w:tc>
          <w:tcPr>
            <w:tcW w:w="2600" w:type="dxa"/>
            <w:vAlign w:val="bottom"/>
            <w:shd w:val="clear" w:color="auto" w:fill="D7E7F5"/>
          </w:tcPr>
          <w:p>
            <w:pPr>
              <w:ind w:left="40"/>
              <w:spacing w:after="0"/>
              <w:rPr>
                <w:sz w:val="20"/>
                <w:szCs w:val="20"/>
                <w:color w:val="auto"/>
              </w:rPr>
            </w:pPr>
            <w:r>
              <w:rPr>
                <w:rFonts w:ascii="Arial" w:cs="Arial" w:eastAsia="Arial" w:hAnsi="Arial"/>
                <w:sz w:val="16"/>
                <w:szCs w:val="16"/>
                <w:b w:val="1"/>
                <w:bCs w:val="1"/>
                <w:color w:val="auto"/>
              </w:rPr>
              <w:t>Eduardo Hecker</w:t>
            </w:r>
          </w:p>
        </w:tc>
        <w:tc>
          <w:tcPr>
            <w:tcW w:w="1300" w:type="dxa"/>
            <w:vAlign w:val="bottom"/>
            <w:shd w:val="clear" w:color="auto" w:fill="D7E7F5"/>
          </w:tcPr>
          <w:p>
            <w:pPr>
              <w:spacing w:after="0"/>
              <w:rPr>
                <w:sz w:val="24"/>
                <w:szCs w:val="24"/>
                <w:color w:val="auto"/>
              </w:rPr>
            </w:pPr>
          </w:p>
        </w:tc>
        <w:tc>
          <w:tcPr>
            <w:tcW w:w="1200" w:type="dxa"/>
            <w:vAlign w:val="bottom"/>
            <w:shd w:val="clear" w:color="auto" w:fill="D7E7F5"/>
          </w:tcPr>
          <w:p>
            <w:pPr>
              <w:spacing w:after="0"/>
              <w:rPr>
                <w:sz w:val="24"/>
                <w:szCs w:val="24"/>
                <w:color w:val="auto"/>
              </w:rPr>
            </w:pPr>
          </w:p>
        </w:tc>
        <w:tc>
          <w:tcPr>
            <w:tcW w:w="1040" w:type="dxa"/>
            <w:vAlign w:val="bottom"/>
            <w:shd w:val="clear" w:color="auto" w:fill="D7E7F5"/>
          </w:tcPr>
          <w:p>
            <w:pPr>
              <w:spacing w:after="0"/>
              <w:rPr>
                <w:sz w:val="24"/>
                <w:szCs w:val="24"/>
                <w:color w:val="auto"/>
              </w:rPr>
            </w:pPr>
          </w:p>
        </w:tc>
        <w:tc>
          <w:tcPr>
            <w:tcW w:w="1300" w:type="dxa"/>
            <w:vAlign w:val="bottom"/>
            <w:shd w:val="clear" w:color="auto" w:fill="D7E7F5"/>
          </w:tcPr>
          <w:p>
            <w:pPr>
              <w:spacing w:after="0"/>
              <w:rPr>
                <w:sz w:val="24"/>
                <w:szCs w:val="24"/>
                <w:color w:val="auto"/>
              </w:rPr>
            </w:pPr>
          </w:p>
        </w:tc>
        <w:tc>
          <w:tcPr>
            <w:tcW w:w="1360" w:type="dxa"/>
            <w:vAlign w:val="bottom"/>
            <w:shd w:val="clear" w:color="auto" w:fill="D7E7F5"/>
          </w:tcPr>
          <w:p>
            <w:pPr>
              <w:spacing w:after="0"/>
              <w:rPr>
                <w:sz w:val="24"/>
                <w:szCs w:val="24"/>
                <w:color w:val="auto"/>
              </w:rPr>
            </w:pPr>
          </w:p>
        </w:tc>
        <w:tc>
          <w:tcPr>
            <w:tcW w:w="0" w:type="dxa"/>
            <w:vAlign w:val="bottom"/>
          </w:tcPr>
          <w:p>
            <w:pPr>
              <w:spacing w:after="0"/>
              <w:rPr>
                <w:sz w:val="1"/>
                <w:szCs w:val="1"/>
                <w:color w:val="auto"/>
              </w:rPr>
            </w:pPr>
          </w:p>
        </w:tc>
      </w:tr>
      <w:tr>
        <w:trPr>
          <w:trHeight w:val="129"/>
        </w:trPr>
        <w:tc>
          <w:tcPr>
            <w:tcW w:w="60" w:type="dxa"/>
            <w:vAlign w:val="bottom"/>
            <w:shd w:val="clear" w:color="auto" w:fill="D7E7F5"/>
          </w:tcPr>
          <w:p>
            <w:pPr>
              <w:spacing w:after="0"/>
              <w:rPr>
                <w:sz w:val="11"/>
                <w:szCs w:val="11"/>
                <w:color w:val="auto"/>
              </w:rPr>
            </w:pPr>
          </w:p>
        </w:tc>
        <w:tc>
          <w:tcPr>
            <w:tcW w:w="2600" w:type="dxa"/>
            <w:vAlign w:val="bottom"/>
            <w:shd w:val="clear" w:color="auto" w:fill="D7E7F5"/>
          </w:tcPr>
          <w:p>
            <w:pPr>
              <w:spacing w:after="0"/>
              <w:rPr>
                <w:sz w:val="11"/>
                <w:szCs w:val="11"/>
                <w:color w:val="auto"/>
              </w:rPr>
            </w:pPr>
          </w:p>
        </w:tc>
        <w:tc>
          <w:tcPr>
            <w:tcW w:w="1300" w:type="dxa"/>
            <w:vAlign w:val="bottom"/>
            <w:shd w:val="clear" w:color="auto" w:fill="D7E7F5"/>
          </w:tcPr>
          <w:p>
            <w:pPr>
              <w:spacing w:after="0"/>
              <w:rPr>
                <w:sz w:val="11"/>
                <w:szCs w:val="11"/>
                <w:color w:val="auto"/>
              </w:rPr>
            </w:pPr>
          </w:p>
        </w:tc>
        <w:tc>
          <w:tcPr>
            <w:tcW w:w="1200" w:type="dxa"/>
            <w:vAlign w:val="bottom"/>
            <w:shd w:val="clear" w:color="auto" w:fill="D7E7F5"/>
          </w:tcPr>
          <w:p>
            <w:pPr>
              <w:spacing w:after="0"/>
              <w:rPr>
                <w:sz w:val="11"/>
                <w:szCs w:val="11"/>
                <w:color w:val="auto"/>
              </w:rPr>
            </w:pPr>
          </w:p>
        </w:tc>
        <w:tc>
          <w:tcPr>
            <w:tcW w:w="1040" w:type="dxa"/>
            <w:vAlign w:val="bottom"/>
            <w:shd w:val="clear" w:color="auto" w:fill="D7E7F5"/>
          </w:tcPr>
          <w:p>
            <w:pPr>
              <w:spacing w:after="0"/>
              <w:rPr>
                <w:sz w:val="11"/>
                <w:szCs w:val="11"/>
                <w:color w:val="auto"/>
              </w:rPr>
            </w:pPr>
          </w:p>
        </w:tc>
        <w:tc>
          <w:tcPr>
            <w:tcW w:w="1300" w:type="dxa"/>
            <w:vAlign w:val="bottom"/>
            <w:shd w:val="clear" w:color="auto" w:fill="D7E7F5"/>
          </w:tcPr>
          <w:p>
            <w:pPr>
              <w:spacing w:after="0"/>
              <w:rPr>
                <w:sz w:val="11"/>
                <w:szCs w:val="11"/>
                <w:color w:val="auto"/>
              </w:rPr>
            </w:pPr>
          </w:p>
        </w:tc>
        <w:tc>
          <w:tcPr>
            <w:tcW w:w="1360" w:type="dxa"/>
            <w:vAlign w:val="bottom"/>
            <w:shd w:val="clear" w:color="auto" w:fill="D7E7F5"/>
          </w:tcPr>
          <w:p>
            <w:pPr>
              <w:spacing w:after="0"/>
              <w:rPr>
                <w:sz w:val="11"/>
                <w:szCs w:val="11"/>
                <w:color w:val="auto"/>
              </w:rPr>
            </w:pPr>
          </w:p>
        </w:tc>
        <w:tc>
          <w:tcPr>
            <w:tcW w:w="0" w:type="dxa"/>
            <w:vAlign w:val="bottom"/>
          </w:tcPr>
          <w:p>
            <w:pPr>
              <w:spacing w:after="0"/>
              <w:rPr>
                <w:sz w:val="1"/>
                <w:szCs w:val="1"/>
                <w:color w:val="auto"/>
              </w:rPr>
            </w:pPr>
          </w:p>
        </w:tc>
      </w:tr>
      <w:tr>
        <w:trPr>
          <w:trHeight w:val="316"/>
        </w:trPr>
        <w:tc>
          <w:tcPr>
            <w:tcW w:w="60" w:type="dxa"/>
            <w:vAlign w:val="bottom"/>
          </w:tcPr>
          <w:p>
            <w:pPr>
              <w:spacing w:after="0"/>
              <w:rPr>
                <w:sz w:val="24"/>
                <w:szCs w:val="24"/>
                <w:color w:val="auto"/>
              </w:rPr>
            </w:pPr>
          </w:p>
        </w:tc>
        <w:tc>
          <w:tcPr>
            <w:tcW w:w="2600" w:type="dxa"/>
            <w:vAlign w:val="bottom"/>
          </w:tcPr>
          <w:p>
            <w:pPr>
              <w:ind w:left="40"/>
              <w:spacing w:after="0"/>
              <w:rPr>
                <w:sz w:val="20"/>
                <w:szCs w:val="20"/>
                <w:color w:val="auto"/>
              </w:rPr>
            </w:pPr>
            <w:r>
              <w:rPr>
                <w:rFonts w:ascii="Arial" w:cs="Arial" w:eastAsia="Arial" w:hAnsi="Arial"/>
                <w:sz w:val="16"/>
                <w:szCs w:val="16"/>
                <w:b w:val="1"/>
                <w:bCs w:val="1"/>
                <w:color w:val="auto"/>
              </w:rPr>
              <w:t>Miguel Heras Castro</w:t>
            </w:r>
          </w:p>
        </w:tc>
        <w:tc>
          <w:tcPr>
            <w:tcW w:w="130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9"/>
        </w:trPr>
        <w:tc>
          <w:tcPr>
            <w:tcW w:w="60" w:type="dxa"/>
            <w:vAlign w:val="bottom"/>
          </w:tcPr>
          <w:p>
            <w:pPr>
              <w:spacing w:after="0"/>
              <w:rPr>
                <w:sz w:val="11"/>
                <w:szCs w:val="11"/>
                <w:color w:val="auto"/>
              </w:rPr>
            </w:pPr>
          </w:p>
        </w:tc>
        <w:tc>
          <w:tcPr>
            <w:tcW w:w="260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120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13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16"/>
        </w:trPr>
        <w:tc>
          <w:tcPr>
            <w:tcW w:w="60" w:type="dxa"/>
            <w:vAlign w:val="bottom"/>
            <w:shd w:val="clear" w:color="auto" w:fill="D7E7F5"/>
          </w:tcPr>
          <w:p>
            <w:pPr>
              <w:spacing w:after="0"/>
              <w:rPr>
                <w:sz w:val="24"/>
                <w:szCs w:val="24"/>
                <w:color w:val="auto"/>
              </w:rPr>
            </w:pPr>
          </w:p>
        </w:tc>
        <w:tc>
          <w:tcPr>
            <w:tcW w:w="2600" w:type="dxa"/>
            <w:vAlign w:val="bottom"/>
            <w:shd w:val="clear" w:color="auto" w:fill="D7E7F5"/>
          </w:tcPr>
          <w:p>
            <w:pPr>
              <w:ind w:left="40"/>
              <w:spacing w:after="0"/>
              <w:rPr>
                <w:sz w:val="20"/>
                <w:szCs w:val="20"/>
                <w:color w:val="auto"/>
              </w:rPr>
            </w:pPr>
            <w:r>
              <w:rPr>
                <w:rFonts w:ascii="Arial" w:cs="Arial" w:eastAsia="Arial" w:hAnsi="Arial"/>
                <w:sz w:val="16"/>
                <w:szCs w:val="16"/>
                <w:b w:val="1"/>
                <w:bCs w:val="1"/>
                <w:color w:val="auto"/>
              </w:rPr>
              <w:t>Roland Holst</w:t>
            </w:r>
          </w:p>
        </w:tc>
        <w:tc>
          <w:tcPr>
            <w:tcW w:w="1300" w:type="dxa"/>
            <w:vAlign w:val="bottom"/>
            <w:shd w:val="clear" w:color="auto" w:fill="D7E7F5"/>
          </w:tcPr>
          <w:p>
            <w:pPr>
              <w:spacing w:after="0"/>
              <w:rPr>
                <w:sz w:val="24"/>
                <w:szCs w:val="24"/>
                <w:color w:val="auto"/>
              </w:rPr>
            </w:pPr>
          </w:p>
        </w:tc>
        <w:tc>
          <w:tcPr>
            <w:tcW w:w="1200" w:type="dxa"/>
            <w:vAlign w:val="bottom"/>
            <w:shd w:val="clear" w:color="auto" w:fill="D7E7F5"/>
          </w:tcPr>
          <w:p>
            <w:pPr>
              <w:spacing w:after="0"/>
              <w:rPr>
                <w:sz w:val="24"/>
                <w:szCs w:val="24"/>
                <w:color w:val="auto"/>
              </w:rPr>
            </w:pPr>
          </w:p>
        </w:tc>
        <w:tc>
          <w:tcPr>
            <w:tcW w:w="1040" w:type="dxa"/>
            <w:vAlign w:val="bottom"/>
            <w:shd w:val="clear" w:color="auto" w:fill="D7E7F5"/>
          </w:tcPr>
          <w:p>
            <w:pPr>
              <w:spacing w:after="0"/>
              <w:rPr>
                <w:sz w:val="24"/>
                <w:szCs w:val="24"/>
                <w:color w:val="auto"/>
              </w:rPr>
            </w:pPr>
          </w:p>
        </w:tc>
        <w:tc>
          <w:tcPr>
            <w:tcW w:w="1300" w:type="dxa"/>
            <w:vAlign w:val="bottom"/>
            <w:shd w:val="clear" w:color="auto" w:fill="D7E7F5"/>
          </w:tcPr>
          <w:p>
            <w:pPr>
              <w:spacing w:after="0"/>
              <w:rPr>
                <w:sz w:val="24"/>
                <w:szCs w:val="24"/>
                <w:color w:val="auto"/>
              </w:rPr>
            </w:pPr>
          </w:p>
        </w:tc>
        <w:tc>
          <w:tcPr>
            <w:tcW w:w="1360" w:type="dxa"/>
            <w:vAlign w:val="bottom"/>
            <w:shd w:val="clear" w:color="auto" w:fill="D7E7F5"/>
          </w:tcPr>
          <w:p>
            <w:pPr>
              <w:spacing w:after="0"/>
              <w:rPr>
                <w:sz w:val="24"/>
                <w:szCs w:val="24"/>
                <w:color w:val="auto"/>
              </w:rPr>
            </w:pPr>
          </w:p>
        </w:tc>
        <w:tc>
          <w:tcPr>
            <w:tcW w:w="0" w:type="dxa"/>
            <w:vAlign w:val="bottom"/>
          </w:tcPr>
          <w:p>
            <w:pPr>
              <w:spacing w:after="0"/>
              <w:rPr>
                <w:sz w:val="1"/>
                <w:szCs w:val="1"/>
                <w:color w:val="auto"/>
              </w:rPr>
            </w:pPr>
          </w:p>
        </w:tc>
      </w:tr>
      <w:tr>
        <w:trPr>
          <w:trHeight w:val="75"/>
        </w:trPr>
        <w:tc>
          <w:tcPr>
            <w:tcW w:w="60" w:type="dxa"/>
            <w:vAlign w:val="bottom"/>
            <w:tcBorders>
              <w:bottom w:val="single" w:sz="8" w:color="0065C1"/>
            </w:tcBorders>
            <w:shd w:val="clear" w:color="auto" w:fill="D7E7F5"/>
          </w:tcPr>
          <w:p>
            <w:pPr>
              <w:spacing w:after="0"/>
              <w:rPr>
                <w:sz w:val="6"/>
                <w:szCs w:val="6"/>
                <w:color w:val="auto"/>
              </w:rPr>
            </w:pPr>
          </w:p>
        </w:tc>
        <w:tc>
          <w:tcPr>
            <w:tcW w:w="2600" w:type="dxa"/>
            <w:vAlign w:val="bottom"/>
            <w:tcBorders>
              <w:bottom w:val="single" w:sz="8" w:color="0065C1"/>
            </w:tcBorders>
            <w:shd w:val="clear" w:color="auto" w:fill="D7E7F5"/>
          </w:tcPr>
          <w:p>
            <w:pPr>
              <w:spacing w:after="0"/>
              <w:rPr>
                <w:sz w:val="6"/>
                <w:szCs w:val="6"/>
                <w:color w:val="auto"/>
              </w:rPr>
            </w:pPr>
          </w:p>
        </w:tc>
        <w:tc>
          <w:tcPr>
            <w:tcW w:w="1300" w:type="dxa"/>
            <w:vAlign w:val="bottom"/>
            <w:tcBorders>
              <w:bottom w:val="single" w:sz="8" w:color="0065C1"/>
            </w:tcBorders>
            <w:shd w:val="clear" w:color="auto" w:fill="D7E7F5"/>
          </w:tcPr>
          <w:p>
            <w:pPr>
              <w:spacing w:after="0"/>
              <w:rPr>
                <w:sz w:val="6"/>
                <w:szCs w:val="6"/>
                <w:color w:val="auto"/>
              </w:rPr>
            </w:pPr>
          </w:p>
        </w:tc>
        <w:tc>
          <w:tcPr>
            <w:tcW w:w="1200" w:type="dxa"/>
            <w:vAlign w:val="bottom"/>
            <w:tcBorders>
              <w:bottom w:val="single" w:sz="8" w:color="0065C1"/>
            </w:tcBorders>
            <w:shd w:val="clear" w:color="auto" w:fill="D7E7F5"/>
          </w:tcPr>
          <w:p>
            <w:pPr>
              <w:spacing w:after="0"/>
              <w:rPr>
                <w:sz w:val="6"/>
                <w:szCs w:val="6"/>
                <w:color w:val="auto"/>
              </w:rPr>
            </w:pPr>
          </w:p>
        </w:tc>
        <w:tc>
          <w:tcPr>
            <w:tcW w:w="1040" w:type="dxa"/>
            <w:vAlign w:val="bottom"/>
            <w:tcBorders>
              <w:bottom w:val="single" w:sz="8" w:color="0065C1"/>
            </w:tcBorders>
            <w:shd w:val="clear" w:color="auto" w:fill="D7E7F5"/>
          </w:tcPr>
          <w:p>
            <w:pPr>
              <w:spacing w:after="0"/>
              <w:rPr>
                <w:sz w:val="6"/>
                <w:szCs w:val="6"/>
                <w:color w:val="auto"/>
              </w:rPr>
            </w:pPr>
          </w:p>
        </w:tc>
        <w:tc>
          <w:tcPr>
            <w:tcW w:w="1300" w:type="dxa"/>
            <w:vAlign w:val="bottom"/>
            <w:tcBorders>
              <w:bottom w:val="single" w:sz="8" w:color="0065C1"/>
            </w:tcBorders>
            <w:shd w:val="clear" w:color="auto" w:fill="D7E7F5"/>
          </w:tcPr>
          <w:p>
            <w:pPr>
              <w:spacing w:after="0"/>
              <w:rPr>
                <w:sz w:val="6"/>
                <w:szCs w:val="6"/>
                <w:color w:val="auto"/>
              </w:rPr>
            </w:pPr>
          </w:p>
        </w:tc>
        <w:tc>
          <w:tcPr>
            <w:tcW w:w="1360" w:type="dxa"/>
            <w:vAlign w:val="bottom"/>
            <w:tcBorders>
              <w:bottom w:val="single" w:sz="8" w:color="0065C1"/>
            </w:tcBorders>
            <w:shd w:val="clear" w:color="auto" w:fill="D7E7F5"/>
          </w:tcPr>
          <w:p>
            <w:pPr>
              <w:spacing w:after="0"/>
              <w:rPr>
                <w:sz w:val="6"/>
                <w:szCs w:val="6"/>
                <w:color w:val="auto"/>
              </w:rPr>
            </w:pPr>
          </w:p>
        </w:tc>
        <w:tc>
          <w:tcPr>
            <w:tcW w:w="0" w:type="dxa"/>
            <w:vAlign w:val="bottom"/>
          </w:tcPr>
          <w:p>
            <w:pPr>
              <w:spacing w:after="0"/>
              <w:rPr>
                <w:sz w:val="1"/>
                <w:szCs w:val="1"/>
                <w:color w:val="auto"/>
              </w:rPr>
            </w:pPr>
          </w:p>
        </w:tc>
      </w:tr>
      <w:tr>
        <w:trPr>
          <w:trHeight w:val="210"/>
        </w:trPr>
        <w:tc>
          <w:tcPr>
            <w:tcW w:w="60" w:type="dxa"/>
            <w:vAlign w:val="bottom"/>
            <w:tcBorders>
              <w:bottom w:val="single" w:sz="8" w:color="auto"/>
            </w:tcBorders>
          </w:tcPr>
          <w:p>
            <w:pPr>
              <w:spacing w:after="0"/>
              <w:rPr>
                <w:sz w:val="18"/>
                <w:szCs w:val="18"/>
                <w:color w:val="auto"/>
              </w:rPr>
            </w:pPr>
          </w:p>
        </w:tc>
        <w:tc>
          <w:tcPr>
            <w:tcW w:w="2600" w:type="dxa"/>
            <w:vAlign w:val="bottom"/>
            <w:tcBorders>
              <w:bottom w:val="single" w:sz="8" w:color="auto"/>
            </w:tcBorders>
          </w:tcPr>
          <w:p>
            <w:pPr>
              <w:spacing w:after="0"/>
              <w:rPr>
                <w:sz w:val="18"/>
                <w:szCs w:val="18"/>
                <w:color w:val="auto"/>
              </w:rPr>
            </w:pPr>
          </w:p>
        </w:tc>
        <w:tc>
          <w:tcPr>
            <w:tcW w:w="1300" w:type="dxa"/>
            <w:vAlign w:val="bottom"/>
            <w:tcBorders>
              <w:bottom w:val="single" w:sz="8" w:color="auto"/>
            </w:tcBorders>
          </w:tcPr>
          <w:p>
            <w:pPr>
              <w:spacing w:after="0"/>
              <w:rPr>
                <w:sz w:val="18"/>
                <w:szCs w:val="18"/>
                <w:color w:val="auto"/>
              </w:rPr>
            </w:pPr>
          </w:p>
        </w:tc>
        <w:tc>
          <w:tcPr>
            <w:tcW w:w="1200" w:type="dxa"/>
            <w:vAlign w:val="bottom"/>
            <w:tcBorders>
              <w:bottom w:val="single" w:sz="8" w:color="auto"/>
            </w:tcBorders>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1300" w:type="dxa"/>
            <w:vAlign w:val="bottom"/>
            <w:tcBorders>
              <w:bottom w:val="single" w:sz="8" w:color="auto"/>
            </w:tcBorders>
          </w:tcPr>
          <w:p>
            <w:pPr>
              <w:spacing w:after="0"/>
              <w:rPr>
                <w:sz w:val="18"/>
                <w:szCs w:val="18"/>
                <w:color w:val="auto"/>
              </w:rPr>
            </w:pPr>
          </w:p>
        </w:tc>
        <w:tc>
          <w:tcPr>
            <w:tcW w:w="13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2302510</wp:posOffset>
            </wp:positionH>
            <wp:positionV relativeFrom="paragraph">
              <wp:posOffset>-2597150</wp:posOffset>
            </wp:positionV>
            <wp:extent cx="102870" cy="1460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5251450</wp:posOffset>
            </wp:positionH>
            <wp:positionV relativeFrom="paragraph">
              <wp:posOffset>-2597150</wp:posOffset>
            </wp:positionV>
            <wp:extent cx="102870" cy="14605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-2313940</wp:posOffset>
            </wp:positionV>
            <wp:extent cx="102870" cy="14541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3597275</wp:posOffset>
            </wp:positionH>
            <wp:positionV relativeFrom="paragraph">
              <wp:posOffset>-2313940</wp:posOffset>
            </wp:positionV>
            <wp:extent cx="102870" cy="14541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4359910</wp:posOffset>
            </wp:positionH>
            <wp:positionV relativeFrom="paragraph">
              <wp:posOffset>-2313940</wp:posOffset>
            </wp:positionV>
            <wp:extent cx="102870" cy="14541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-2031365</wp:posOffset>
            </wp:positionV>
            <wp:extent cx="102870" cy="14605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-2031365</wp:posOffset>
            </wp:positionV>
            <wp:extent cx="102870" cy="14605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-1748155</wp:posOffset>
            </wp:positionV>
            <wp:extent cx="102870" cy="14605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5251450</wp:posOffset>
            </wp:positionH>
            <wp:positionV relativeFrom="paragraph">
              <wp:posOffset>-1748155</wp:posOffset>
            </wp:positionV>
            <wp:extent cx="102870" cy="14605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-1465580</wp:posOffset>
            </wp:positionV>
            <wp:extent cx="102870" cy="14605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3597275</wp:posOffset>
            </wp:positionH>
            <wp:positionV relativeFrom="paragraph">
              <wp:posOffset>-1465580</wp:posOffset>
            </wp:positionV>
            <wp:extent cx="102870" cy="1460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-1182370</wp:posOffset>
            </wp:positionV>
            <wp:extent cx="102870" cy="14541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4359910</wp:posOffset>
            </wp:positionH>
            <wp:positionV relativeFrom="paragraph">
              <wp:posOffset>-1182370</wp:posOffset>
            </wp:positionV>
            <wp:extent cx="102870" cy="14541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5251450</wp:posOffset>
            </wp:positionH>
            <wp:positionV relativeFrom="paragraph">
              <wp:posOffset>-1182370</wp:posOffset>
            </wp:positionV>
            <wp:extent cx="102870" cy="14541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2302510</wp:posOffset>
            </wp:positionH>
            <wp:positionV relativeFrom="paragraph">
              <wp:posOffset>-899795</wp:posOffset>
            </wp:positionV>
            <wp:extent cx="102870" cy="14541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5251450</wp:posOffset>
            </wp:positionH>
            <wp:positionV relativeFrom="paragraph">
              <wp:posOffset>-899795</wp:posOffset>
            </wp:positionV>
            <wp:extent cx="102870" cy="14541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-616585</wp:posOffset>
            </wp:positionV>
            <wp:extent cx="102870" cy="14605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3597275</wp:posOffset>
            </wp:positionH>
            <wp:positionV relativeFrom="paragraph">
              <wp:posOffset>-616585</wp:posOffset>
            </wp:positionV>
            <wp:extent cx="102870" cy="14605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2902585</wp:posOffset>
            </wp:positionH>
            <wp:positionV relativeFrom="paragraph">
              <wp:posOffset>-334010</wp:posOffset>
            </wp:positionV>
            <wp:extent cx="102870" cy="14541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3597275</wp:posOffset>
            </wp:positionH>
            <wp:positionV relativeFrom="paragraph">
              <wp:posOffset>-334010</wp:posOffset>
            </wp:positionV>
            <wp:extent cx="102870" cy="14541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76835</wp:posOffset>
            </wp:positionV>
            <wp:extent cx="411480" cy="17970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117"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16</w:t>
        <w:tab/>
        <w:t>Proxy Statement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23" w:name="page24"/>
    <w:bookmarkEnd w:id="23"/>
    <w:p>
      <w:pPr>
        <w:jc w:val="right"/>
        <w:ind w:left="520" w:right="79"/>
        <w:spacing w:after="0" w:line="251" w:lineRule="auto"/>
        <w:rPr>
          <w:sz w:val="20"/>
          <w:szCs w:val="20"/>
          <w:color w:val="auto"/>
        </w:rPr>
      </w:pPr>
      <w:r>
        <w:rPr>
          <w:rFonts w:ascii="Arial" w:cs="Arial" w:eastAsia="Arial" w:hAnsi="Arial"/>
          <w:sz w:val="22"/>
          <w:szCs w:val="22"/>
          <w:color w:val="0065C1"/>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182880</wp:posOffset>
            </wp:positionV>
            <wp:extent cx="5623560" cy="82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363" w:lineRule="exact"/>
        <w:rPr>
          <w:sz w:val="20"/>
          <w:szCs w:val="20"/>
          <w:color w:val="auto"/>
        </w:rPr>
      </w:pPr>
    </w:p>
    <w:tbl>
      <w:tblPr>
        <w:tblLayout w:type="fixed"/>
        <w:tblInd w:w="80" w:type="dxa"/>
        <w:tblCellMar>
          <w:top w:w="0" w:type="dxa"/>
          <w:left w:w="0" w:type="dxa"/>
          <w:bottom w:w="0" w:type="dxa"/>
          <w:right w:w="0" w:type="dxa"/>
        </w:tblCellMar>
      </w:tblPr>
      <w:tr>
        <w:trPr>
          <w:trHeight w:val="247"/>
        </w:trPr>
        <w:tc>
          <w:tcPr>
            <w:tcW w:w="60" w:type="dxa"/>
            <w:vAlign w:val="bottom"/>
            <w:shd w:val="clear" w:color="auto" w:fill="0065C1"/>
          </w:tcPr>
          <w:p>
            <w:pPr>
              <w:spacing w:after="0"/>
              <w:rPr>
                <w:sz w:val="21"/>
                <w:szCs w:val="21"/>
                <w:color w:val="auto"/>
              </w:rPr>
            </w:pPr>
          </w:p>
        </w:tc>
        <w:tc>
          <w:tcPr>
            <w:tcW w:w="3120" w:type="dxa"/>
            <w:vAlign w:val="bottom"/>
            <w:shd w:val="clear" w:color="auto" w:fill="0065C1"/>
          </w:tcPr>
          <w:p>
            <w:pPr>
              <w:spacing w:after="0"/>
              <w:rPr>
                <w:sz w:val="21"/>
                <w:szCs w:val="21"/>
                <w:color w:val="auto"/>
              </w:rPr>
            </w:pPr>
          </w:p>
        </w:tc>
        <w:tc>
          <w:tcPr>
            <w:tcW w:w="780" w:type="dxa"/>
            <w:vAlign w:val="bottom"/>
            <w:shd w:val="clear" w:color="auto" w:fill="0065C1"/>
          </w:tcPr>
          <w:p>
            <w:pPr>
              <w:spacing w:after="0"/>
              <w:rPr>
                <w:sz w:val="21"/>
                <w:szCs w:val="21"/>
                <w:color w:val="auto"/>
              </w:rPr>
            </w:pPr>
          </w:p>
        </w:tc>
        <w:tc>
          <w:tcPr>
            <w:tcW w:w="1200" w:type="dxa"/>
            <w:vAlign w:val="bottom"/>
            <w:vMerge w:val="restart"/>
            <w:shd w:val="clear" w:color="auto" w:fill="0065C1"/>
          </w:tcPr>
          <w:p>
            <w:pPr>
              <w:jc w:val="center"/>
              <w:spacing w:after="0"/>
              <w:rPr>
                <w:sz w:val="20"/>
                <w:szCs w:val="20"/>
                <w:color w:val="auto"/>
              </w:rPr>
            </w:pPr>
            <w:r>
              <w:rPr>
                <w:rFonts w:ascii="Arial" w:cs="Arial" w:eastAsia="Arial" w:hAnsi="Arial"/>
                <w:sz w:val="15"/>
                <w:szCs w:val="15"/>
                <w:b w:val="1"/>
                <w:bCs w:val="1"/>
                <w:color w:val="FFFFFF"/>
              </w:rPr>
              <w:t>Risk Policy</w:t>
            </w:r>
          </w:p>
        </w:tc>
        <w:tc>
          <w:tcPr>
            <w:tcW w:w="1040" w:type="dxa"/>
            <w:vAlign w:val="bottom"/>
            <w:vMerge w:val="restart"/>
            <w:shd w:val="clear" w:color="auto" w:fill="0065C1"/>
          </w:tcPr>
          <w:p>
            <w:pPr>
              <w:jc w:val="center"/>
              <w:ind w:right="22"/>
              <w:spacing w:after="0"/>
              <w:rPr>
                <w:sz w:val="20"/>
                <w:szCs w:val="20"/>
                <w:color w:val="auto"/>
              </w:rPr>
            </w:pPr>
            <w:r>
              <w:rPr>
                <w:rFonts w:ascii="Arial" w:cs="Arial" w:eastAsia="Arial" w:hAnsi="Arial"/>
                <w:sz w:val="15"/>
                <w:szCs w:val="15"/>
                <w:b w:val="1"/>
                <w:bCs w:val="1"/>
                <w:color w:val="FFFFFF"/>
              </w:rPr>
              <w:t>Finance</w:t>
            </w:r>
          </w:p>
        </w:tc>
        <w:tc>
          <w:tcPr>
            <w:tcW w:w="1300" w:type="dxa"/>
            <w:vAlign w:val="bottom"/>
            <w:shd w:val="clear" w:color="auto" w:fill="0065C1"/>
          </w:tcPr>
          <w:p>
            <w:pPr>
              <w:jc w:val="center"/>
              <w:spacing w:after="0"/>
              <w:rPr>
                <w:sz w:val="20"/>
                <w:szCs w:val="20"/>
                <w:color w:val="auto"/>
              </w:rPr>
            </w:pPr>
            <w:r>
              <w:rPr>
                <w:rFonts w:ascii="Arial" w:cs="Arial" w:eastAsia="Arial" w:hAnsi="Arial"/>
                <w:sz w:val="15"/>
                <w:szCs w:val="15"/>
                <w:b w:val="1"/>
                <w:bCs w:val="1"/>
                <w:color w:val="FFFFFF"/>
              </w:rPr>
              <w:t>Compliance</w:t>
            </w:r>
          </w:p>
        </w:tc>
        <w:tc>
          <w:tcPr>
            <w:tcW w:w="1360" w:type="dxa"/>
            <w:vAlign w:val="bottom"/>
            <w:shd w:val="clear" w:color="auto" w:fill="0065C1"/>
          </w:tcPr>
          <w:p>
            <w:pPr>
              <w:spacing w:after="0"/>
              <w:rPr>
                <w:sz w:val="21"/>
                <w:szCs w:val="21"/>
                <w:color w:val="auto"/>
              </w:rPr>
            </w:pPr>
          </w:p>
        </w:tc>
        <w:tc>
          <w:tcPr>
            <w:tcW w:w="0" w:type="dxa"/>
            <w:vAlign w:val="bottom"/>
          </w:tcPr>
          <w:p>
            <w:pPr>
              <w:spacing w:after="0"/>
              <w:rPr>
                <w:sz w:val="1"/>
                <w:szCs w:val="1"/>
                <w:color w:val="auto"/>
              </w:rPr>
            </w:pPr>
          </w:p>
        </w:tc>
      </w:tr>
      <w:tr>
        <w:trPr>
          <w:trHeight w:val="162"/>
        </w:trPr>
        <w:tc>
          <w:tcPr>
            <w:tcW w:w="60" w:type="dxa"/>
            <w:vAlign w:val="bottom"/>
            <w:shd w:val="clear" w:color="auto" w:fill="0065C1"/>
          </w:tcPr>
          <w:p>
            <w:pPr>
              <w:spacing w:after="0"/>
              <w:rPr>
                <w:sz w:val="14"/>
                <w:szCs w:val="14"/>
                <w:color w:val="auto"/>
              </w:rPr>
            </w:pPr>
          </w:p>
        </w:tc>
        <w:tc>
          <w:tcPr>
            <w:tcW w:w="3120" w:type="dxa"/>
            <w:vAlign w:val="bottom"/>
            <w:shd w:val="clear" w:color="auto" w:fill="0065C1"/>
          </w:tcPr>
          <w:p>
            <w:pPr>
              <w:spacing w:after="0"/>
              <w:rPr>
                <w:sz w:val="14"/>
                <w:szCs w:val="14"/>
                <w:color w:val="auto"/>
              </w:rPr>
            </w:pPr>
          </w:p>
        </w:tc>
        <w:tc>
          <w:tcPr>
            <w:tcW w:w="780" w:type="dxa"/>
            <w:vAlign w:val="bottom"/>
            <w:shd w:val="clear" w:color="auto" w:fill="0065C1"/>
          </w:tcPr>
          <w:p>
            <w:pPr>
              <w:spacing w:after="0"/>
              <w:rPr>
                <w:sz w:val="14"/>
                <w:szCs w:val="14"/>
                <w:color w:val="auto"/>
              </w:rPr>
            </w:pPr>
          </w:p>
        </w:tc>
        <w:tc>
          <w:tcPr>
            <w:tcW w:w="1200" w:type="dxa"/>
            <w:vAlign w:val="bottom"/>
            <w:vMerge w:val="continue"/>
            <w:shd w:val="clear" w:color="auto" w:fill="0065C1"/>
          </w:tcPr>
          <w:p>
            <w:pPr>
              <w:spacing w:after="0"/>
              <w:rPr>
                <w:sz w:val="14"/>
                <w:szCs w:val="14"/>
                <w:color w:val="auto"/>
              </w:rPr>
            </w:pPr>
          </w:p>
        </w:tc>
        <w:tc>
          <w:tcPr>
            <w:tcW w:w="1040" w:type="dxa"/>
            <w:vAlign w:val="bottom"/>
            <w:vMerge w:val="continue"/>
            <w:shd w:val="clear" w:color="auto" w:fill="0065C1"/>
          </w:tcPr>
          <w:p>
            <w:pPr>
              <w:spacing w:after="0"/>
              <w:rPr>
                <w:sz w:val="14"/>
                <w:szCs w:val="14"/>
                <w:color w:val="auto"/>
              </w:rPr>
            </w:pPr>
          </w:p>
        </w:tc>
        <w:tc>
          <w:tcPr>
            <w:tcW w:w="1300" w:type="dxa"/>
            <w:vAlign w:val="bottom"/>
            <w:shd w:val="clear" w:color="auto" w:fill="0065C1"/>
          </w:tcPr>
          <w:p>
            <w:pPr>
              <w:jc w:val="center"/>
              <w:spacing w:after="0" w:line="162" w:lineRule="exact"/>
              <w:rPr>
                <w:sz w:val="20"/>
                <w:szCs w:val="20"/>
                <w:color w:val="auto"/>
              </w:rPr>
            </w:pPr>
            <w:r>
              <w:rPr>
                <w:rFonts w:ascii="Arial" w:cs="Arial" w:eastAsia="Arial" w:hAnsi="Arial"/>
                <w:sz w:val="15"/>
                <w:szCs w:val="15"/>
                <w:b w:val="1"/>
                <w:bCs w:val="1"/>
                <w:color w:val="FFFFFF"/>
              </w:rPr>
              <w:t>and Anti-</w:t>
            </w:r>
          </w:p>
        </w:tc>
        <w:tc>
          <w:tcPr>
            <w:tcW w:w="1360" w:type="dxa"/>
            <w:vAlign w:val="bottom"/>
            <w:shd w:val="clear" w:color="auto" w:fill="0065C1"/>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60" w:type="dxa"/>
            <w:vAlign w:val="bottom"/>
            <w:shd w:val="clear" w:color="auto" w:fill="0065C1"/>
          </w:tcPr>
          <w:p>
            <w:pPr>
              <w:spacing w:after="0"/>
              <w:rPr>
                <w:sz w:val="14"/>
                <w:szCs w:val="14"/>
                <w:color w:val="auto"/>
              </w:rPr>
            </w:pPr>
          </w:p>
        </w:tc>
        <w:tc>
          <w:tcPr>
            <w:tcW w:w="3120" w:type="dxa"/>
            <w:vAlign w:val="bottom"/>
            <w:vMerge w:val="restart"/>
            <w:shd w:val="clear" w:color="auto" w:fill="0065C1"/>
          </w:tcPr>
          <w:p>
            <w:pPr>
              <w:ind w:left="40"/>
              <w:spacing w:after="0"/>
              <w:rPr>
                <w:sz w:val="20"/>
                <w:szCs w:val="20"/>
                <w:color w:val="auto"/>
              </w:rPr>
            </w:pPr>
            <w:r>
              <w:rPr>
                <w:rFonts w:ascii="Arial" w:cs="Arial" w:eastAsia="Arial" w:hAnsi="Arial"/>
                <w:sz w:val="15"/>
                <w:szCs w:val="15"/>
                <w:b w:val="1"/>
                <w:bCs w:val="1"/>
                <w:color w:val="FFFFFF"/>
              </w:rPr>
              <w:t>Name</w:t>
            </w:r>
          </w:p>
        </w:tc>
        <w:tc>
          <w:tcPr>
            <w:tcW w:w="780" w:type="dxa"/>
            <w:vAlign w:val="bottom"/>
            <w:vMerge w:val="restart"/>
            <w:shd w:val="clear" w:color="auto" w:fill="0065C1"/>
          </w:tcPr>
          <w:p>
            <w:pPr>
              <w:jc w:val="center"/>
              <w:ind w:left="21"/>
              <w:spacing w:after="0"/>
              <w:rPr>
                <w:sz w:val="20"/>
                <w:szCs w:val="20"/>
                <w:color w:val="auto"/>
              </w:rPr>
            </w:pPr>
            <w:r>
              <w:rPr>
                <w:rFonts w:ascii="Arial" w:cs="Arial" w:eastAsia="Arial" w:hAnsi="Arial"/>
                <w:sz w:val="15"/>
                <w:szCs w:val="15"/>
                <w:b w:val="1"/>
                <w:bCs w:val="1"/>
                <w:color w:val="FFFFFF"/>
              </w:rPr>
              <w:t>Audit</w:t>
            </w:r>
          </w:p>
        </w:tc>
        <w:tc>
          <w:tcPr>
            <w:tcW w:w="1200" w:type="dxa"/>
            <w:vAlign w:val="bottom"/>
            <w:shd w:val="clear" w:color="auto" w:fill="0065C1"/>
          </w:tcPr>
          <w:p>
            <w:pPr>
              <w:jc w:val="center"/>
              <w:spacing w:after="0" w:line="162" w:lineRule="exact"/>
              <w:rPr>
                <w:sz w:val="20"/>
                <w:szCs w:val="20"/>
                <w:color w:val="auto"/>
              </w:rPr>
            </w:pPr>
            <w:r>
              <w:rPr>
                <w:rFonts w:ascii="Arial" w:cs="Arial" w:eastAsia="Arial" w:hAnsi="Arial"/>
                <w:sz w:val="15"/>
                <w:szCs w:val="15"/>
                <w:b w:val="1"/>
                <w:bCs w:val="1"/>
                <w:color w:val="FFFFFF"/>
              </w:rPr>
              <w:t>and</w:t>
            </w:r>
          </w:p>
        </w:tc>
        <w:tc>
          <w:tcPr>
            <w:tcW w:w="1040" w:type="dxa"/>
            <w:vAlign w:val="bottom"/>
            <w:shd w:val="clear" w:color="auto" w:fill="0065C1"/>
          </w:tcPr>
          <w:p>
            <w:pPr>
              <w:jc w:val="center"/>
              <w:ind w:right="2"/>
              <w:spacing w:after="0" w:line="162" w:lineRule="exact"/>
              <w:rPr>
                <w:sz w:val="20"/>
                <w:szCs w:val="20"/>
                <w:color w:val="auto"/>
              </w:rPr>
            </w:pPr>
            <w:r>
              <w:rPr>
                <w:rFonts w:ascii="Arial" w:cs="Arial" w:eastAsia="Arial" w:hAnsi="Arial"/>
                <w:sz w:val="15"/>
                <w:szCs w:val="15"/>
                <w:b w:val="1"/>
                <w:bCs w:val="1"/>
                <w:color w:val="FFFFFF"/>
              </w:rPr>
              <w:t>and</w:t>
            </w:r>
          </w:p>
        </w:tc>
        <w:tc>
          <w:tcPr>
            <w:tcW w:w="1300" w:type="dxa"/>
            <w:vAlign w:val="bottom"/>
            <w:shd w:val="clear" w:color="auto" w:fill="0065C1"/>
          </w:tcPr>
          <w:p>
            <w:pPr>
              <w:jc w:val="center"/>
              <w:spacing w:after="0" w:line="162" w:lineRule="exact"/>
              <w:rPr>
                <w:sz w:val="20"/>
                <w:szCs w:val="20"/>
                <w:color w:val="auto"/>
              </w:rPr>
            </w:pPr>
            <w:r>
              <w:rPr>
                <w:rFonts w:ascii="Arial" w:cs="Arial" w:eastAsia="Arial" w:hAnsi="Arial"/>
                <w:sz w:val="15"/>
                <w:szCs w:val="15"/>
                <w:b w:val="1"/>
                <w:bCs w:val="1"/>
                <w:color w:val="FFFFFF"/>
              </w:rPr>
              <w:t>Money</w:t>
            </w:r>
          </w:p>
        </w:tc>
        <w:tc>
          <w:tcPr>
            <w:tcW w:w="1360" w:type="dxa"/>
            <w:vAlign w:val="bottom"/>
            <w:vMerge w:val="restart"/>
            <w:shd w:val="clear" w:color="auto" w:fill="0065C1"/>
          </w:tcPr>
          <w:p>
            <w:pPr>
              <w:jc w:val="center"/>
              <w:ind w:left="101"/>
              <w:spacing w:after="0"/>
              <w:rPr>
                <w:sz w:val="20"/>
                <w:szCs w:val="20"/>
                <w:color w:val="auto"/>
              </w:rPr>
            </w:pPr>
            <w:r>
              <w:rPr>
                <w:rFonts w:ascii="Arial" w:cs="Arial" w:eastAsia="Arial" w:hAnsi="Arial"/>
                <w:sz w:val="15"/>
                <w:szCs w:val="15"/>
                <w:b w:val="1"/>
                <w:bCs w:val="1"/>
                <w:color w:val="FFFFFF"/>
              </w:rPr>
              <w:t>Compensation</w:t>
            </w:r>
          </w:p>
        </w:tc>
        <w:tc>
          <w:tcPr>
            <w:tcW w:w="0" w:type="dxa"/>
            <w:vAlign w:val="bottom"/>
          </w:tcPr>
          <w:p>
            <w:pPr>
              <w:spacing w:after="0"/>
              <w:rPr>
                <w:sz w:val="1"/>
                <w:szCs w:val="1"/>
                <w:color w:val="auto"/>
              </w:rPr>
            </w:pPr>
          </w:p>
        </w:tc>
      </w:tr>
      <w:tr>
        <w:trPr>
          <w:trHeight w:val="214"/>
        </w:trPr>
        <w:tc>
          <w:tcPr>
            <w:tcW w:w="60" w:type="dxa"/>
            <w:vAlign w:val="bottom"/>
            <w:shd w:val="clear" w:color="auto" w:fill="0065C1"/>
          </w:tcPr>
          <w:p>
            <w:pPr>
              <w:spacing w:after="0"/>
              <w:rPr>
                <w:sz w:val="18"/>
                <w:szCs w:val="18"/>
                <w:color w:val="auto"/>
              </w:rPr>
            </w:pPr>
          </w:p>
        </w:tc>
        <w:tc>
          <w:tcPr>
            <w:tcW w:w="3120" w:type="dxa"/>
            <w:vAlign w:val="bottom"/>
            <w:vMerge w:val="continue"/>
            <w:shd w:val="clear" w:color="auto" w:fill="0065C1"/>
          </w:tcPr>
          <w:p>
            <w:pPr>
              <w:spacing w:after="0"/>
              <w:rPr>
                <w:sz w:val="18"/>
                <w:szCs w:val="18"/>
                <w:color w:val="auto"/>
              </w:rPr>
            </w:pPr>
          </w:p>
        </w:tc>
        <w:tc>
          <w:tcPr>
            <w:tcW w:w="780" w:type="dxa"/>
            <w:vAlign w:val="bottom"/>
            <w:vMerge w:val="continue"/>
            <w:shd w:val="clear" w:color="auto" w:fill="0065C1"/>
          </w:tcPr>
          <w:p>
            <w:pPr>
              <w:spacing w:after="0"/>
              <w:rPr>
                <w:sz w:val="18"/>
                <w:szCs w:val="18"/>
                <w:color w:val="auto"/>
              </w:rPr>
            </w:pPr>
          </w:p>
        </w:tc>
        <w:tc>
          <w:tcPr>
            <w:tcW w:w="1200" w:type="dxa"/>
            <w:vAlign w:val="bottom"/>
            <w:shd w:val="clear" w:color="auto" w:fill="0065C1"/>
          </w:tcPr>
          <w:p>
            <w:pPr>
              <w:jc w:val="center"/>
              <w:spacing w:after="0"/>
              <w:rPr>
                <w:sz w:val="20"/>
                <w:szCs w:val="20"/>
                <w:color w:val="auto"/>
              </w:rPr>
            </w:pPr>
            <w:r>
              <w:rPr>
                <w:rFonts w:ascii="Arial" w:cs="Arial" w:eastAsia="Arial" w:hAnsi="Arial"/>
                <w:sz w:val="15"/>
                <w:szCs w:val="15"/>
                <w:b w:val="1"/>
                <w:bCs w:val="1"/>
                <w:color w:val="FFFFFF"/>
              </w:rPr>
              <w:t>Assessment</w:t>
            </w:r>
          </w:p>
        </w:tc>
        <w:tc>
          <w:tcPr>
            <w:tcW w:w="1040" w:type="dxa"/>
            <w:vAlign w:val="bottom"/>
            <w:shd w:val="clear" w:color="auto" w:fill="0065C1"/>
          </w:tcPr>
          <w:p>
            <w:pPr>
              <w:jc w:val="center"/>
              <w:spacing w:after="0"/>
              <w:rPr>
                <w:sz w:val="20"/>
                <w:szCs w:val="20"/>
                <w:color w:val="auto"/>
              </w:rPr>
            </w:pPr>
            <w:r>
              <w:rPr>
                <w:rFonts w:ascii="Arial" w:cs="Arial" w:eastAsia="Arial" w:hAnsi="Arial"/>
                <w:sz w:val="15"/>
                <w:szCs w:val="15"/>
                <w:b w:val="1"/>
                <w:bCs w:val="1"/>
                <w:color w:val="FFFFFF"/>
              </w:rPr>
              <w:t>Business</w:t>
            </w:r>
          </w:p>
        </w:tc>
        <w:tc>
          <w:tcPr>
            <w:tcW w:w="1300" w:type="dxa"/>
            <w:vAlign w:val="bottom"/>
            <w:shd w:val="clear" w:color="auto" w:fill="0065C1"/>
          </w:tcPr>
          <w:p>
            <w:pPr>
              <w:jc w:val="center"/>
              <w:spacing w:after="0"/>
              <w:rPr>
                <w:sz w:val="20"/>
                <w:szCs w:val="20"/>
                <w:color w:val="auto"/>
              </w:rPr>
            </w:pPr>
            <w:r>
              <w:rPr>
                <w:rFonts w:ascii="Arial" w:cs="Arial" w:eastAsia="Arial" w:hAnsi="Arial"/>
                <w:sz w:val="15"/>
                <w:szCs w:val="15"/>
                <w:b w:val="1"/>
                <w:bCs w:val="1"/>
                <w:color w:val="FFFFFF"/>
              </w:rPr>
              <w:t>Laundering</w:t>
            </w:r>
          </w:p>
        </w:tc>
        <w:tc>
          <w:tcPr>
            <w:tcW w:w="1360" w:type="dxa"/>
            <w:vAlign w:val="bottom"/>
            <w:vMerge w:val="continue"/>
            <w:shd w:val="clear" w:color="auto" w:fill="0065C1"/>
          </w:tcPr>
          <w:p>
            <w:pPr>
              <w:spacing w:after="0"/>
              <w:rPr>
                <w:sz w:val="18"/>
                <w:szCs w:val="18"/>
                <w:color w:val="auto"/>
              </w:rPr>
            </w:pPr>
          </w:p>
        </w:tc>
        <w:tc>
          <w:tcPr>
            <w:tcW w:w="0" w:type="dxa"/>
            <w:vAlign w:val="bottom"/>
          </w:tcPr>
          <w:p>
            <w:pPr>
              <w:spacing w:after="0"/>
              <w:rPr>
                <w:sz w:val="1"/>
                <w:szCs w:val="1"/>
                <w:color w:val="auto"/>
              </w:rPr>
            </w:pPr>
          </w:p>
        </w:tc>
      </w:tr>
      <w:tr>
        <w:trPr>
          <w:trHeight w:val="93"/>
        </w:trPr>
        <w:tc>
          <w:tcPr>
            <w:tcW w:w="60" w:type="dxa"/>
            <w:vAlign w:val="bottom"/>
            <w:shd w:val="clear" w:color="auto" w:fill="0065C1"/>
          </w:tcPr>
          <w:p>
            <w:pPr>
              <w:spacing w:after="0"/>
              <w:rPr>
                <w:sz w:val="8"/>
                <w:szCs w:val="8"/>
                <w:color w:val="auto"/>
              </w:rPr>
            </w:pPr>
          </w:p>
        </w:tc>
        <w:tc>
          <w:tcPr>
            <w:tcW w:w="3120" w:type="dxa"/>
            <w:vAlign w:val="bottom"/>
            <w:shd w:val="clear" w:color="auto" w:fill="0065C1"/>
          </w:tcPr>
          <w:p>
            <w:pPr>
              <w:spacing w:after="0"/>
              <w:rPr>
                <w:sz w:val="8"/>
                <w:szCs w:val="8"/>
                <w:color w:val="auto"/>
              </w:rPr>
            </w:pPr>
          </w:p>
        </w:tc>
        <w:tc>
          <w:tcPr>
            <w:tcW w:w="780" w:type="dxa"/>
            <w:vAlign w:val="bottom"/>
            <w:shd w:val="clear" w:color="auto" w:fill="0065C1"/>
          </w:tcPr>
          <w:p>
            <w:pPr>
              <w:spacing w:after="0"/>
              <w:rPr>
                <w:sz w:val="8"/>
                <w:szCs w:val="8"/>
                <w:color w:val="auto"/>
              </w:rPr>
            </w:pPr>
          </w:p>
        </w:tc>
        <w:tc>
          <w:tcPr>
            <w:tcW w:w="1200" w:type="dxa"/>
            <w:vAlign w:val="bottom"/>
            <w:shd w:val="clear" w:color="auto" w:fill="0065C1"/>
          </w:tcPr>
          <w:p>
            <w:pPr>
              <w:spacing w:after="0"/>
              <w:rPr>
                <w:sz w:val="8"/>
                <w:szCs w:val="8"/>
                <w:color w:val="auto"/>
              </w:rPr>
            </w:pPr>
          </w:p>
        </w:tc>
        <w:tc>
          <w:tcPr>
            <w:tcW w:w="1040" w:type="dxa"/>
            <w:vAlign w:val="bottom"/>
            <w:shd w:val="clear" w:color="auto" w:fill="0065C1"/>
          </w:tcPr>
          <w:p>
            <w:pPr>
              <w:spacing w:after="0"/>
              <w:rPr>
                <w:sz w:val="8"/>
                <w:szCs w:val="8"/>
                <w:color w:val="auto"/>
              </w:rPr>
            </w:pPr>
          </w:p>
        </w:tc>
        <w:tc>
          <w:tcPr>
            <w:tcW w:w="1300" w:type="dxa"/>
            <w:vAlign w:val="bottom"/>
            <w:shd w:val="clear" w:color="auto" w:fill="0065C1"/>
          </w:tcPr>
          <w:p>
            <w:pPr>
              <w:spacing w:after="0"/>
              <w:rPr>
                <w:sz w:val="8"/>
                <w:szCs w:val="8"/>
                <w:color w:val="auto"/>
              </w:rPr>
            </w:pPr>
          </w:p>
        </w:tc>
        <w:tc>
          <w:tcPr>
            <w:tcW w:w="1360" w:type="dxa"/>
            <w:vAlign w:val="bottom"/>
            <w:shd w:val="clear" w:color="auto" w:fill="0065C1"/>
          </w:tcPr>
          <w:p>
            <w:pPr>
              <w:spacing w:after="0"/>
              <w:rPr>
                <w:sz w:val="8"/>
                <w:szCs w:val="8"/>
                <w:color w:val="auto"/>
              </w:rPr>
            </w:pPr>
          </w:p>
        </w:tc>
        <w:tc>
          <w:tcPr>
            <w:tcW w:w="0" w:type="dxa"/>
            <w:vAlign w:val="bottom"/>
          </w:tcPr>
          <w:p>
            <w:pPr>
              <w:spacing w:after="0"/>
              <w:rPr>
                <w:sz w:val="1"/>
                <w:szCs w:val="1"/>
                <w:color w:val="auto"/>
              </w:rPr>
            </w:pPr>
          </w:p>
        </w:tc>
      </w:tr>
      <w:tr>
        <w:trPr>
          <w:trHeight w:val="317"/>
        </w:trPr>
        <w:tc>
          <w:tcPr>
            <w:tcW w:w="60" w:type="dxa"/>
            <w:vAlign w:val="bottom"/>
          </w:tcPr>
          <w:p>
            <w:pPr>
              <w:spacing w:after="0"/>
              <w:rPr>
                <w:sz w:val="24"/>
                <w:szCs w:val="24"/>
                <w:color w:val="auto"/>
              </w:rPr>
            </w:pPr>
          </w:p>
        </w:tc>
        <w:tc>
          <w:tcPr>
            <w:tcW w:w="3120" w:type="dxa"/>
            <w:vAlign w:val="bottom"/>
          </w:tcPr>
          <w:p>
            <w:pPr>
              <w:ind w:left="40"/>
              <w:spacing w:after="0"/>
              <w:rPr>
                <w:sz w:val="20"/>
                <w:szCs w:val="20"/>
                <w:color w:val="auto"/>
              </w:rPr>
            </w:pPr>
            <w:r>
              <w:rPr>
                <w:rFonts w:ascii="Arial" w:cs="Arial" w:eastAsia="Arial" w:hAnsi="Arial"/>
                <w:sz w:val="16"/>
                <w:szCs w:val="16"/>
                <w:b w:val="1"/>
                <w:bCs w:val="1"/>
                <w:color w:val="auto"/>
              </w:rPr>
              <w:t>João Carlos de Nóbrega Pecego</w:t>
            </w:r>
          </w:p>
        </w:tc>
        <w:tc>
          <w:tcPr>
            <w:tcW w:w="78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9"/>
        </w:trPr>
        <w:tc>
          <w:tcPr>
            <w:tcW w:w="60" w:type="dxa"/>
            <w:vAlign w:val="bottom"/>
          </w:tcPr>
          <w:p>
            <w:pPr>
              <w:spacing w:after="0"/>
              <w:rPr>
                <w:sz w:val="11"/>
                <w:szCs w:val="11"/>
                <w:color w:val="auto"/>
              </w:rPr>
            </w:pPr>
          </w:p>
        </w:tc>
        <w:tc>
          <w:tcPr>
            <w:tcW w:w="31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20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13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405"/>
        </w:trPr>
        <w:tc>
          <w:tcPr>
            <w:tcW w:w="60" w:type="dxa"/>
            <w:vAlign w:val="bottom"/>
            <w:shd w:val="clear" w:color="auto" w:fill="D7E7F5"/>
          </w:tcPr>
          <w:p>
            <w:pPr>
              <w:spacing w:after="0"/>
              <w:rPr>
                <w:sz w:val="24"/>
                <w:szCs w:val="24"/>
                <w:color w:val="auto"/>
              </w:rPr>
            </w:pPr>
          </w:p>
        </w:tc>
        <w:tc>
          <w:tcPr>
            <w:tcW w:w="3120" w:type="dxa"/>
            <w:vAlign w:val="bottom"/>
            <w:shd w:val="clear" w:color="auto" w:fill="D7E7F5"/>
          </w:tcPr>
          <w:p>
            <w:pPr>
              <w:spacing w:after="0"/>
              <w:rPr>
                <w:sz w:val="24"/>
                <w:szCs w:val="24"/>
                <w:color w:val="auto"/>
              </w:rPr>
            </w:pPr>
          </w:p>
        </w:tc>
        <w:tc>
          <w:tcPr>
            <w:tcW w:w="780" w:type="dxa"/>
            <w:vAlign w:val="bottom"/>
            <w:shd w:val="clear" w:color="auto" w:fill="D7E7F5"/>
          </w:tcPr>
          <w:p>
            <w:pPr>
              <w:spacing w:after="0"/>
              <w:rPr>
                <w:sz w:val="24"/>
                <w:szCs w:val="24"/>
                <w:color w:val="auto"/>
              </w:rPr>
            </w:pPr>
          </w:p>
        </w:tc>
        <w:tc>
          <w:tcPr>
            <w:tcW w:w="1200" w:type="dxa"/>
            <w:vAlign w:val="bottom"/>
            <w:shd w:val="clear" w:color="auto" w:fill="D7E7F5"/>
          </w:tcPr>
          <w:p>
            <w:pPr>
              <w:spacing w:after="0"/>
              <w:rPr>
                <w:sz w:val="24"/>
                <w:szCs w:val="24"/>
                <w:color w:val="auto"/>
              </w:rPr>
            </w:pPr>
          </w:p>
        </w:tc>
        <w:tc>
          <w:tcPr>
            <w:tcW w:w="1040" w:type="dxa"/>
            <w:vAlign w:val="bottom"/>
            <w:shd w:val="clear" w:color="auto" w:fill="D7E7F5"/>
          </w:tcPr>
          <w:p>
            <w:pPr>
              <w:spacing w:after="0"/>
              <w:rPr>
                <w:sz w:val="24"/>
                <w:szCs w:val="24"/>
                <w:color w:val="auto"/>
              </w:rPr>
            </w:pPr>
          </w:p>
        </w:tc>
        <w:tc>
          <w:tcPr>
            <w:tcW w:w="1300" w:type="dxa"/>
            <w:vAlign w:val="bottom"/>
            <w:shd w:val="clear" w:color="auto" w:fill="D7E7F5"/>
          </w:tcPr>
          <w:p>
            <w:pPr>
              <w:spacing w:after="0"/>
              <w:rPr>
                <w:sz w:val="24"/>
                <w:szCs w:val="24"/>
                <w:color w:val="auto"/>
              </w:rPr>
            </w:pPr>
          </w:p>
        </w:tc>
        <w:tc>
          <w:tcPr>
            <w:tcW w:w="1360" w:type="dxa"/>
            <w:vAlign w:val="bottom"/>
            <w:shd w:val="clear" w:color="auto" w:fill="D7E7F5"/>
          </w:tcPr>
          <w:p>
            <w:pPr>
              <w:spacing w:after="0"/>
              <w:rPr>
                <w:sz w:val="24"/>
                <w:szCs w:val="24"/>
                <w:color w:val="auto"/>
              </w:rPr>
            </w:pPr>
          </w:p>
        </w:tc>
        <w:tc>
          <w:tcPr>
            <w:tcW w:w="0" w:type="dxa"/>
            <w:vAlign w:val="bottom"/>
          </w:tcPr>
          <w:p>
            <w:pPr>
              <w:spacing w:after="0"/>
              <w:rPr>
                <w:sz w:val="1"/>
                <w:szCs w:val="1"/>
                <w:color w:val="auto"/>
              </w:rPr>
            </w:pPr>
          </w:p>
        </w:tc>
      </w:tr>
      <w:tr>
        <w:trPr>
          <w:trHeight w:val="277"/>
        </w:trPr>
        <w:tc>
          <w:tcPr>
            <w:tcW w:w="60" w:type="dxa"/>
            <w:vAlign w:val="bottom"/>
          </w:tcPr>
          <w:p>
            <w:pPr>
              <w:spacing w:after="0"/>
              <w:rPr>
                <w:sz w:val="24"/>
                <w:szCs w:val="24"/>
                <w:color w:val="auto"/>
              </w:rPr>
            </w:pPr>
          </w:p>
        </w:tc>
        <w:tc>
          <w:tcPr>
            <w:tcW w:w="3120" w:type="dxa"/>
            <w:vAlign w:val="bottom"/>
          </w:tcPr>
          <w:p>
            <w:pPr>
              <w:ind w:left="40"/>
              <w:spacing w:after="0"/>
              <w:rPr>
                <w:sz w:val="20"/>
                <w:szCs w:val="20"/>
                <w:color w:val="auto"/>
              </w:rPr>
            </w:pPr>
            <w:r>
              <w:rPr>
                <w:rFonts w:ascii="Arial" w:cs="Arial" w:eastAsia="Arial" w:hAnsi="Arial"/>
                <w:sz w:val="16"/>
                <w:szCs w:val="16"/>
                <w:b w:val="1"/>
                <w:bCs w:val="1"/>
                <w:color w:val="auto"/>
              </w:rPr>
              <w:t>Number of Committee Meetings Held</w:t>
            </w:r>
          </w:p>
        </w:tc>
        <w:tc>
          <w:tcPr>
            <w:tcW w:w="78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9"/>
        </w:trPr>
        <w:tc>
          <w:tcPr>
            <w:tcW w:w="60" w:type="dxa"/>
            <w:vAlign w:val="bottom"/>
          </w:tcPr>
          <w:p>
            <w:pPr>
              <w:spacing w:after="0"/>
              <w:rPr>
                <w:sz w:val="19"/>
                <w:szCs w:val="19"/>
                <w:color w:val="auto"/>
              </w:rPr>
            </w:pPr>
          </w:p>
        </w:tc>
        <w:tc>
          <w:tcPr>
            <w:tcW w:w="3120" w:type="dxa"/>
            <w:vAlign w:val="bottom"/>
          </w:tcPr>
          <w:p>
            <w:pPr>
              <w:ind w:left="220"/>
              <w:spacing w:after="0"/>
              <w:rPr>
                <w:sz w:val="20"/>
                <w:szCs w:val="20"/>
                <w:color w:val="auto"/>
              </w:rPr>
            </w:pPr>
            <w:r>
              <w:rPr>
                <w:rFonts w:ascii="Arial" w:cs="Arial" w:eastAsia="Arial" w:hAnsi="Arial"/>
                <w:sz w:val="16"/>
                <w:szCs w:val="16"/>
                <w:b w:val="1"/>
                <w:bCs w:val="1"/>
                <w:color w:val="auto"/>
              </w:rPr>
              <w:t>in 2020</w:t>
            </w:r>
          </w:p>
        </w:tc>
        <w:tc>
          <w:tcPr>
            <w:tcW w:w="780" w:type="dxa"/>
            <w:vAlign w:val="bottom"/>
          </w:tcPr>
          <w:p>
            <w:pPr>
              <w:jc w:val="right"/>
              <w:ind w:right="221"/>
              <w:spacing w:after="0"/>
              <w:rPr>
                <w:sz w:val="20"/>
                <w:szCs w:val="20"/>
                <w:color w:val="auto"/>
              </w:rPr>
            </w:pPr>
            <w:r>
              <w:rPr>
                <w:rFonts w:ascii="Arial" w:cs="Arial" w:eastAsia="Arial" w:hAnsi="Arial"/>
                <w:sz w:val="16"/>
                <w:szCs w:val="16"/>
                <w:b w:val="1"/>
                <w:bCs w:val="1"/>
                <w:color w:val="auto"/>
              </w:rPr>
              <w:t>6</w:t>
            </w:r>
          </w:p>
        </w:tc>
        <w:tc>
          <w:tcPr>
            <w:tcW w:w="1200" w:type="dxa"/>
            <w:vAlign w:val="bottom"/>
          </w:tcPr>
          <w:p>
            <w:pPr>
              <w:jc w:val="center"/>
              <w:spacing w:after="0"/>
              <w:rPr>
                <w:sz w:val="20"/>
                <w:szCs w:val="20"/>
                <w:color w:val="auto"/>
              </w:rPr>
            </w:pPr>
            <w:r>
              <w:rPr>
                <w:rFonts w:ascii="Arial" w:cs="Arial" w:eastAsia="Arial" w:hAnsi="Arial"/>
                <w:sz w:val="16"/>
                <w:szCs w:val="16"/>
                <w:b w:val="1"/>
                <w:bCs w:val="1"/>
                <w:color w:val="auto"/>
              </w:rPr>
              <w:t>13</w:t>
            </w:r>
          </w:p>
        </w:tc>
        <w:tc>
          <w:tcPr>
            <w:tcW w:w="1040" w:type="dxa"/>
            <w:vAlign w:val="bottom"/>
          </w:tcPr>
          <w:p>
            <w:pPr>
              <w:jc w:val="center"/>
              <w:spacing w:after="0"/>
              <w:rPr>
                <w:sz w:val="20"/>
                <w:szCs w:val="20"/>
                <w:color w:val="auto"/>
              </w:rPr>
            </w:pPr>
            <w:r>
              <w:rPr>
                <w:rFonts w:ascii="Arial" w:cs="Arial" w:eastAsia="Arial" w:hAnsi="Arial"/>
                <w:sz w:val="16"/>
                <w:szCs w:val="16"/>
                <w:b w:val="1"/>
                <w:bCs w:val="1"/>
                <w:color w:val="auto"/>
                <w:w w:val="89"/>
              </w:rPr>
              <w:t>6</w:t>
            </w:r>
          </w:p>
        </w:tc>
        <w:tc>
          <w:tcPr>
            <w:tcW w:w="1300" w:type="dxa"/>
            <w:vAlign w:val="bottom"/>
          </w:tcPr>
          <w:p>
            <w:pPr>
              <w:jc w:val="center"/>
              <w:spacing w:after="0"/>
              <w:rPr>
                <w:sz w:val="20"/>
                <w:szCs w:val="20"/>
                <w:color w:val="auto"/>
              </w:rPr>
            </w:pPr>
            <w:r>
              <w:rPr>
                <w:rFonts w:ascii="Arial" w:cs="Arial" w:eastAsia="Arial" w:hAnsi="Arial"/>
                <w:sz w:val="16"/>
                <w:szCs w:val="16"/>
                <w:b w:val="1"/>
                <w:bCs w:val="1"/>
                <w:color w:val="auto"/>
              </w:rPr>
              <w:t>6</w:t>
            </w:r>
          </w:p>
        </w:tc>
        <w:tc>
          <w:tcPr>
            <w:tcW w:w="1360" w:type="dxa"/>
            <w:vAlign w:val="bottom"/>
          </w:tcPr>
          <w:p>
            <w:pPr>
              <w:jc w:val="right"/>
              <w:ind w:right="481"/>
              <w:spacing w:after="0"/>
              <w:rPr>
                <w:sz w:val="20"/>
                <w:szCs w:val="20"/>
                <w:color w:val="auto"/>
              </w:rPr>
            </w:pPr>
            <w:r>
              <w:rPr>
                <w:rFonts w:ascii="Arial" w:cs="Arial" w:eastAsia="Arial" w:hAnsi="Arial"/>
                <w:sz w:val="16"/>
                <w:szCs w:val="16"/>
                <w:b w:val="1"/>
                <w:bCs w:val="1"/>
                <w:color w:val="auto"/>
              </w:rPr>
              <w:t>6</w:t>
            </w:r>
          </w:p>
        </w:tc>
        <w:tc>
          <w:tcPr>
            <w:tcW w:w="0" w:type="dxa"/>
            <w:vAlign w:val="bottom"/>
          </w:tcPr>
          <w:p>
            <w:pPr>
              <w:spacing w:after="0"/>
              <w:rPr>
                <w:sz w:val="1"/>
                <w:szCs w:val="1"/>
                <w:color w:val="auto"/>
              </w:rPr>
            </w:pPr>
          </w:p>
        </w:tc>
      </w:tr>
      <w:tr>
        <w:trPr>
          <w:trHeight w:val="35"/>
        </w:trPr>
        <w:tc>
          <w:tcPr>
            <w:tcW w:w="60" w:type="dxa"/>
            <w:vAlign w:val="bottom"/>
            <w:tcBorders>
              <w:bottom w:val="single" w:sz="8" w:color="0065C1"/>
            </w:tcBorders>
          </w:tcPr>
          <w:p>
            <w:pPr>
              <w:spacing w:after="0"/>
              <w:rPr>
                <w:sz w:val="3"/>
                <w:szCs w:val="3"/>
                <w:color w:val="auto"/>
              </w:rPr>
            </w:pPr>
          </w:p>
        </w:tc>
        <w:tc>
          <w:tcPr>
            <w:tcW w:w="3120" w:type="dxa"/>
            <w:vAlign w:val="bottom"/>
            <w:tcBorders>
              <w:bottom w:val="single" w:sz="8" w:color="0065C1"/>
            </w:tcBorders>
          </w:tcPr>
          <w:p>
            <w:pPr>
              <w:spacing w:after="0"/>
              <w:rPr>
                <w:sz w:val="3"/>
                <w:szCs w:val="3"/>
                <w:color w:val="auto"/>
              </w:rPr>
            </w:pPr>
          </w:p>
        </w:tc>
        <w:tc>
          <w:tcPr>
            <w:tcW w:w="780" w:type="dxa"/>
            <w:vAlign w:val="bottom"/>
            <w:tcBorders>
              <w:bottom w:val="single" w:sz="8" w:color="0065C1"/>
            </w:tcBorders>
          </w:tcPr>
          <w:p>
            <w:pPr>
              <w:spacing w:after="0"/>
              <w:rPr>
                <w:sz w:val="3"/>
                <w:szCs w:val="3"/>
                <w:color w:val="auto"/>
              </w:rPr>
            </w:pPr>
          </w:p>
        </w:tc>
        <w:tc>
          <w:tcPr>
            <w:tcW w:w="1200" w:type="dxa"/>
            <w:vAlign w:val="bottom"/>
            <w:tcBorders>
              <w:bottom w:val="single" w:sz="8" w:color="0065C1"/>
            </w:tcBorders>
          </w:tcPr>
          <w:p>
            <w:pPr>
              <w:spacing w:after="0"/>
              <w:rPr>
                <w:sz w:val="3"/>
                <w:szCs w:val="3"/>
                <w:color w:val="auto"/>
              </w:rPr>
            </w:pPr>
          </w:p>
        </w:tc>
        <w:tc>
          <w:tcPr>
            <w:tcW w:w="1040" w:type="dxa"/>
            <w:vAlign w:val="bottom"/>
            <w:tcBorders>
              <w:bottom w:val="single" w:sz="8" w:color="0065C1"/>
            </w:tcBorders>
          </w:tcPr>
          <w:p>
            <w:pPr>
              <w:spacing w:after="0"/>
              <w:rPr>
                <w:sz w:val="3"/>
                <w:szCs w:val="3"/>
                <w:color w:val="auto"/>
              </w:rPr>
            </w:pPr>
          </w:p>
        </w:tc>
        <w:tc>
          <w:tcPr>
            <w:tcW w:w="1300" w:type="dxa"/>
            <w:vAlign w:val="bottom"/>
            <w:tcBorders>
              <w:bottom w:val="single" w:sz="8" w:color="0065C1"/>
            </w:tcBorders>
          </w:tcPr>
          <w:p>
            <w:pPr>
              <w:spacing w:after="0"/>
              <w:rPr>
                <w:sz w:val="3"/>
                <w:szCs w:val="3"/>
                <w:color w:val="auto"/>
              </w:rPr>
            </w:pPr>
          </w:p>
        </w:tc>
        <w:tc>
          <w:tcPr>
            <w:tcW w:w="1360" w:type="dxa"/>
            <w:vAlign w:val="bottom"/>
            <w:tcBorders>
              <w:bottom w:val="single" w:sz="8" w:color="0065C1"/>
            </w:tcBorders>
          </w:tcPr>
          <w:p>
            <w:pPr>
              <w:spacing w:after="0"/>
              <w:rPr>
                <w:sz w:val="3"/>
                <w:szCs w:val="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3597275</wp:posOffset>
            </wp:positionH>
            <wp:positionV relativeFrom="paragraph">
              <wp:posOffset>-822325</wp:posOffset>
            </wp:positionV>
            <wp:extent cx="102870" cy="14541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5251450</wp:posOffset>
            </wp:positionH>
            <wp:positionV relativeFrom="paragraph">
              <wp:posOffset>-822325</wp:posOffset>
            </wp:positionV>
            <wp:extent cx="102870" cy="14541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102870" cy="145415"/>
                    </a:xfrm>
                    <a:prstGeom prst="rect">
                      <a:avLst/>
                    </a:prstGeom>
                    <a:noFill/>
                  </pic:spPr>
                </pic:pic>
              </a:graphicData>
            </a:graphic>
          </wp:anchor>
        </w:drawing>
      </w:r>
    </w:p>
    <w:p>
      <w:pPr>
        <w:spacing w:after="0" w:line="227"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Audit Committee</w:t>
      </w:r>
    </w:p>
    <w:p>
      <w:pPr>
        <w:spacing w:after="0" w:line="152" w:lineRule="exact"/>
        <w:rPr>
          <w:sz w:val="20"/>
          <w:szCs w:val="20"/>
          <w:color w:val="auto"/>
        </w:rPr>
      </w:pPr>
    </w:p>
    <w:p>
      <w:pPr>
        <w:jc w:val="both"/>
        <w:ind w:left="80" w:right="79"/>
        <w:spacing w:after="0" w:line="248" w:lineRule="auto"/>
        <w:rPr>
          <w:sz w:val="20"/>
          <w:szCs w:val="20"/>
          <w:color w:val="auto"/>
        </w:rPr>
      </w:pPr>
      <w:r>
        <w:rPr>
          <w:rFonts w:ascii="Arial" w:cs="Arial" w:eastAsia="Arial" w:hAnsi="Arial"/>
          <w:sz w:val="18"/>
          <w:szCs w:val="18"/>
          <w:color w:val="auto"/>
        </w:rPr>
        <w:t>The Audit Committee is a standing Committee of the Board. According to its Charter, the Audit Committee must be comprised of at least three independent directors. The current members of the Audit Committee are Mr. Herminio A. Blanco (Chair), Ms. Alexandra M. Aguirre, Ms. Isela Costantini, Mr. José Alberto Garzón and Mr. Eduardo Hecker.</w:t>
      </w:r>
    </w:p>
    <w:p>
      <w:pPr>
        <w:spacing w:after="0" w:line="89" w:lineRule="exact"/>
        <w:rPr>
          <w:sz w:val="20"/>
          <w:szCs w:val="20"/>
          <w:color w:val="auto"/>
        </w:rPr>
      </w:pPr>
    </w:p>
    <w:p>
      <w:pPr>
        <w:jc w:val="both"/>
        <w:ind w:left="80" w:right="99"/>
        <w:spacing w:after="0" w:line="243" w:lineRule="auto"/>
        <w:rPr>
          <w:sz w:val="20"/>
          <w:szCs w:val="20"/>
          <w:color w:val="auto"/>
        </w:rPr>
      </w:pPr>
      <w:r>
        <w:rPr>
          <w:rFonts w:ascii="Arial" w:cs="Arial" w:eastAsia="Arial" w:hAnsi="Arial"/>
          <w:sz w:val="18"/>
          <w:szCs w:val="18"/>
          <w:color w:val="auto"/>
        </w:rPr>
        <w:t>The Board has determined that all members of the Audit Committee are independent directors under the terms defined by applicable laws and regulations, including rules promulgated by the SEC under the Sarbanes-Oxley Act, Section 303A of NYSE Listed Company Manual, and Rule No. 05-2011 as amended by Rule 05-2014 of the Superintendency of Banks of Panama. In addition, at least one of the members of the Audit Committee is an “audit committee financial expert,” as defined by the SEC in Item 407 of Regulation S-K. The Audit Committee´s financial expert is Mr. Herminio A. Blanco.</w:t>
      </w:r>
    </w:p>
    <w:p>
      <w:pPr>
        <w:spacing w:after="0" w:line="106" w:lineRule="exact"/>
        <w:rPr>
          <w:sz w:val="20"/>
          <w:szCs w:val="20"/>
          <w:color w:val="auto"/>
        </w:rPr>
      </w:pPr>
    </w:p>
    <w:p>
      <w:pPr>
        <w:jc w:val="both"/>
        <w:ind w:left="80" w:right="79"/>
        <w:spacing w:after="0" w:line="241" w:lineRule="auto"/>
        <w:rPr>
          <w:sz w:val="20"/>
          <w:szCs w:val="20"/>
          <w:color w:val="auto"/>
        </w:rPr>
      </w:pPr>
      <w:r>
        <w:rPr>
          <w:rFonts w:ascii="Arial" w:cs="Arial" w:eastAsia="Arial" w:hAnsi="Arial"/>
          <w:sz w:val="18"/>
          <w:szCs w:val="18"/>
          <w:color w:val="auto"/>
        </w:rPr>
        <w:t>The purpose of the Audit Committee is to provide assistance to the Board in fulfilling its oversight responsibilities regarding the processing of the Bank’s financial information, the integrity of the Bank’s financial statements, the Bank’s system of internal controls over financial reporting, the performance of both the internal audit and the independent registered public accounting firm, compliance with legal and regulatory requirements and the Bank’s Code of Ethics. The Audit Committee meets with each of the internal and independent auditors and the Bank’s management to discuss the Bank’s audited consolidated financial statements and management’s discussion and analysis of financial condition and results of operations.</w:t>
      </w:r>
    </w:p>
    <w:p>
      <w:pPr>
        <w:spacing w:after="0" w:line="111" w:lineRule="exact"/>
        <w:rPr>
          <w:sz w:val="20"/>
          <w:szCs w:val="20"/>
          <w:color w:val="auto"/>
        </w:rPr>
      </w:pPr>
    </w:p>
    <w:p>
      <w:pPr>
        <w:jc w:val="both"/>
        <w:ind w:left="80" w:right="79"/>
        <w:spacing w:after="0" w:line="255" w:lineRule="auto"/>
        <w:rPr>
          <w:sz w:val="20"/>
          <w:szCs w:val="20"/>
          <w:color w:val="auto"/>
        </w:rPr>
      </w:pPr>
      <w:r>
        <w:rPr>
          <w:rFonts w:ascii="Arial" w:cs="Arial" w:eastAsia="Arial" w:hAnsi="Arial"/>
          <w:sz w:val="18"/>
          <w:szCs w:val="18"/>
          <w:color w:val="auto"/>
        </w:rPr>
        <w:t>The Audit Committee meets at least six times per year, as required by the Superintendency of Banks of Panama and the Committee charter, or more often if the circumstances so require. During the fiscal year ended December 31, 2020, the Audit Committee met six times.</w:t>
      </w:r>
    </w:p>
    <w:p>
      <w:pPr>
        <w:spacing w:after="0" w:line="83" w:lineRule="exact"/>
        <w:rPr>
          <w:sz w:val="20"/>
          <w:szCs w:val="20"/>
          <w:color w:val="auto"/>
        </w:rPr>
      </w:pPr>
    </w:p>
    <w:p>
      <w:pPr>
        <w:jc w:val="both"/>
        <w:ind w:left="80" w:right="79"/>
        <w:spacing w:after="0" w:line="243" w:lineRule="auto"/>
        <w:rPr>
          <w:sz w:val="20"/>
          <w:szCs w:val="20"/>
          <w:color w:val="auto"/>
        </w:rPr>
      </w:pPr>
      <w:r>
        <w:rPr>
          <w:rFonts w:ascii="Arial" w:cs="Arial" w:eastAsia="Arial" w:hAnsi="Arial"/>
          <w:sz w:val="18"/>
          <w:szCs w:val="18"/>
          <w:color w:val="auto"/>
        </w:rPr>
        <w:t>The Audit Committee, in its capacity as a Committee of the Board, is directly responsible for recommending to the shareholders the renewal or replacement of the Bank’s independent auditors at the Annual Shareholders’ Meeting, the compensation of the independent auditors (including the pre-approval of all audit and non-audit services) and oversight of the independent auditors, including the resolution of disagreements regarding financial reporting between the Bank’s management and the independent auditors. The Bank’s independent auditors are required to report directly to the Audit Committee.</w:t>
      </w:r>
    </w:p>
    <w:p>
      <w:pPr>
        <w:spacing w:after="0" w:line="147" w:lineRule="exact"/>
        <w:rPr>
          <w:sz w:val="20"/>
          <w:szCs w:val="20"/>
          <w:color w:val="auto"/>
        </w:rPr>
      </w:pPr>
    </w:p>
    <w:p>
      <w:pPr>
        <w:ind w:left="80"/>
        <w:spacing w:after="0"/>
        <w:rPr>
          <w:sz w:val="20"/>
          <w:szCs w:val="20"/>
          <w:color w:val="auto"/>
        </w:rPr>
      </w:pPr>
      <w:r>
        <w:rPr>
          <w:rFonts w:ascii="Arial" w:cs="Arial" w:eastAsia="Arial" w:hAnsi="Arial"/>
          <w:sz w:val="18"/>
          <w:szCs w:val="18"/>
          <w:color w:val="auto"/>
        </w:rPr>
        <w:t>The Charter of the Audit Committee requires an annual self-evaluation of its performance.</w:t>
      </w:r>
    </w:p>
    <w:p>
      <w:pPr>
        <w:spacing w:after="0" w:line="185" w:lineRule="exact"/>
        <w:rPr>
          <w:sz w:val="20"/>
          <w:szCs w:val="20"/>
          <w:color w:val="auto"/>
        </w:rPr>
      </w:pPr>
    </w:p>
    <w:p>
      <w:pPr>
        <w:ind w:left="80"/>
        <w:spacing w:after="0"/>
        <w:rPr>
          <w:sz w:val="20"/>
          <w:szCs w:val="20"/>
          <w:color w:val="auto"/>
        </w:rPr>
      </w:pPr>
      <w:r>
        <w:rPr>
          <w:rFonts w:ascii="Arial" w:cs="Arial" w:eastAsia="Arial" w:hAnsi="Arial"/>
          <w:sz w:val="18"/>
          <w:szCs w:val="18"/>
          <w:color w:val="auto"/>
        </w:rPr>
        <w:t>The Audit Committee pre-approved all audit and non-audit services of the Bank’s independent auditors in 2020.</w:t>
      </w:r>
    </w:p>
    <w:p>
      <w:pPr>
        <w:spacing w:after="0" w:line="144" w:lineRule="exact"/>
        <w:rPr>
          <w:sz w:val="20"/>
          <w:szCs w:val="20"/>
          <w:color w:val="auto"/>
        </w:rPr>
      </w:pPr>
    </w:p>
    <w:p>
      <w:pPr>
        <w:jc w:val="both"/>
        <w:ind w:left="80" w:right="99"/>
        <w:spacing w:after="0" w:line="255" w:lineRule="auto"/>
        <w:rPr>
          <w:sz w:val="20"/>
          <w:szCs w:val="20"/>
          <w:color w:val="auto"/>
        </w:rPr>
      </w:pPr>
      <w:r>
        <w:rPr>
          <w:rFonts w:ascii="Arial" w:cs="Arial" w:eastAsia="Arial" w:hAnsi="Arial"/>
          <w:sz w:val="18"/>
          <w:szCs w:val="18"/>
          <w:color w:val="auto"/>
        </w:rPr>
        <w:t>The table below summarizes the fees paid and/or accrued by the Bank for audit services provided by KPMG, as well as fees paid by the Bank for audit-related services provided by KPMG and Deloitte (the Bank’s independent registered public accounting firm until 2017) for each of the last two fiscal years: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118745</wp:posOffset>
            </wp:positionV>
            <wp:extent cx="5623560" cy="88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204470</wp:posOffset>
            </wp:positionV>
            <wp:extent cx="411480" cy="18034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17" w:lineRule="exact"/>
        <w:rPr>
          <w:sz w:val="20"/>
          <w:szCs w:val="20"/>
          <w:color w:val="auto"/>
        </w:rPr>
      </w:pPr>
    </w:p>
    <w:p>
      <w:pPr>
        <w:ind w:left="6600"/>
        <w:spacing w:after="0"/>
        <w:tabs>
          <w:tab w:leader="none" w:pos="8720" w:val="left"/>
        </w:tabs>
        <w:rPr>
          <w:sz w:val="20"/>
          <w:szCs w:val="20"/>
          <w:color w:val="auto"/>
        </w:rPr>
      </w:pPr>
      <w:r>
        <w:rPr>
          <w:rFonts w:ascii="Arial" w:cs="Arial" w:eastAsia="Arial" w:hAnsi="Arial"/>
          <w:sz w:val="18"/>
          <w:szCs w:val="18"/>
          <w:b w:val="1"/>
          <w:bCs w:val="1"/>
          <w:color w:val="auto"/>
        </w:rPr>
        <w:t>Proxy Statement 2021</w:t>
      </w:r>
      <w:r>
        <w:rPr>
          <w:sz w:val="20"/>
          <w:szCs w:val="20"/>
          <w:color w:val="auto"/>
        </w:rPr>
        <w:tab/>
      </w:r>
      <w:r>
        <w:rPr>
          <w:rFonts w:ascii="Arial" w:cs="Arial" w:eastAsia="Arial" w:hAnsi="Arial"/>
          <w:sz w:val="17"/>
          <w:szCs w:val="17"/>
          <w:b w:val="1"/>
          <w:bCs w:val="1"/>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24" w:name="page25"/>
    <w:bookmarkEnd w:id="24"/>
    <w:p>
      <w:pPr>
        <w:ind w:left="80" w:right="539"/>
        <w:spacing w:after="0" w:line="251" w:lineRule="auto"/>
        <w:rPr>
          <w:sz w:val="20"/>
          <w:szCs w:val="20"/>
          <w:color w:val="auto"/>
        </w:rPr>
      </w:pPr>
      <w:r>
        <w:rPr>
          <w:rFonts w:ascii="Arial" w:cs="Arial" w:eastAsia="Arial" w:hAnsi="Arial"/>
          <w:sz w:val="22"/>
          <w:szCs w:val="22"/>
          <w:color w:val="0065C1"/>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182880</wp:posOffset>
            </wp:positionV>
            <wp:extent cx="5623560" cy="825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363" w:lineRule="exact"/>
        <w:rPr>
          <w:sz w:val="20"/>
          <w:szCs w:val="20"/>
          <w:color w:val="auto"/>
        </w:rPr>
      </w:pPr>
    </w:p>
    <w:tbl>
      <w:tblPr>
        <w:tblLayout w:type="fixed"/>
        <w:tblInd w:w="80" w:type="dxa"/>
        <w:tblCellMar>
          <w:top w:w="0" w:type="dxa"/>
          <w:left w:w="0" w:type="dxa"/>
          <w:bottom w:w="0" w:type="dxa"/>
          <w:right w:w="0" w:type="dxa"/>
        </w:tblCellMar>
      </w:tblPr>
      <w:tr>
        <w:trPr>
          <w:trHeight w:val="345"/>
        </w:trPr>
        <w:tc>
          <w:tcPr>
            <w:tcW w:w="3680" w:type="dxa"/>
            <w:vAlign w:val="bottom"/>
            <w:tcBorders>
              <w:bottom w:val="single" w:sz="8" w:color="0065C1"/>
            </w:tcBorders>
            <w:shd w:val="clear" w:color="auto" w:fill="0065C1"/>
          </w:tcPr>
          <w:p>
            <w:pPr>
              <w:spacing w:after="0"/>
              <w:rPr>
                <w:sz w:val="24"/>
                <w:szCs w:val="24"/>
                <w:color w:val="auto"/>
              </w:rPr>
            </w:pPr>
          </w:p>
        </w:tc>
        <w:tc>
          <w:tcPr>
            <w:tcW w:w="3660" w:type="dxa"/>
            <w:vAlign w:val="bottom"/>
            <w:tcBorders>
              <w:bottom w:val="single" w:sz="8" w:color="0065C1"/>
            </w:tcBorders>
            <w:shd w:val="clear" w:color="auto" w:fill="0065C1"/>
          </w:tcPr>
          <w:p>
            <w:pPr>
              <w:jc w:val="right"/>
              <w:ind w:right="892"/>
              <w:spacing w:after="0"/>
              <w:rPr>
                <w:sz w:val="20"/>
                <w:szCs w:val="20"/>
                <w:color w:val="auto"/>
              </w:rPr>
            </w:pPr>
            <w:r>
              <w:rPr>
                <w:rFonts w:ascii="Arial" w:cs="Arial" w:eastAsia="Arial" w:hAnsi="Arial"/>
                <w:sz w:val="16"/>
                <w:szCs w:val="16"/>
                <w:b w:val="1"/>
                <w:bCs w:val="1"/>
                <w:color w:val="FFFFFF"/>
              </w:rPr>
              <w:t>2020</w:t>
            </w:r>
          </w:p>
        </w:tc>
        <w:tc>
          <w:tcPr>
            <w:tcW w:w="1520" w:type="dxa"/>
            <w:vAlign w:val="bottom"/>
            <w:tcBorders>
              <w:bottom w:val="single" w:sz="8" w:color="0065C1"/>
            </w:tcBorders>
            <w:shd w:val="clear" w:color="auto" w:fill="0065C1"/>
          </w:tcPr>
          <w:p>
            <w:pPr>
              <w:jc w:val="right"/>
              <w:ind w:right="192"/>
              <w:spacing w:after="0"/>
              <w:rPr>
                <w:sz w:val="20"/>
                <w:szCs w:val="20"/>
                <w:color w:val="auto"/>
              </w:rPr>
            </w:pPr>
            <w:r>
              <w:rPr>
                <w:rFonts w:ascii="Arial" w:cs="Arial" w:eastAsia="Arial" w:hAnsi="Arial"/>
                <w:sz w:val="16"/>
                <w:szCs w:val="16"/>
                <w:b w:val="1"/>
                <w:bCs w:val="1"/>
                <w:color w:val="FFFFFF"/>
              </w:rPr>
              <w:t>2019</w:t>
            </w:r>
          </w:p>
        </w:tc>
      </w:tr>
      <w:tr>
        <w:trPr>
          <w:trHeight w:val="318"/>
        </w:trPr>
        <w:tc>
          <w:tcPr>
            <w:tcW w:w="3680" w:type="dxa"/>
            <w:vAlign w:val="bottom"/>
            <w:tcBorders>
              <w:bottom w:val="single" w:sz="8" w:color="D7E7F5"/>
            </w:tcBorders>
            <w:shd w:val="clear" w:color="auto" w:fill="D7E7F5"/>
          </w:tcPr>
          <w:p>
            <w:pPr>
              <w:ind w:left="80"/>
              <w:spacing w:after="0"/>
              <w:rPr>
                <w:sz w:val="20"/>
                <w:szCs w:val="20"/>
                <w:color w:val="auto"/>
              </w:rPr>
            </w:pPr>
            <w:r>
              <w:rPr>
                <w:rFonts w:ascii="Arial" w:cs="Arial" w:eastAsia="Arial" w:hAnsi="Arial"/>
                <w:sz w:val="18"/>
                <w:szCs w:val="18"/>
                <w:color w:val="auto"/>
              </w:rPr>
              <w:t>Audit Fees</w:t>
            </w:r>
          </w:p>
        </w:tc>
        <w:tc>
          <w:tcPr>
            <w:tcW w:w="3660" w:type="dxa"/>
            <w:vAlign w:val="bottom"/>
            <w:tcBorders>
              <w:bottom w:val="single" w:sz="8" w:color="D7E7F5"/>
            </w:tcBorders>
            <w:shd w:val="clear" w:color="auto" w:fill="D7E7F5"/>
          </w:tcPr>
          <w:p>
            <w:pPr>
              <w:jc w:val="right"/>
              <w:ind w:right="612"/>
              <w:spacing w:after="0"/>
              <w:rPr>
                <w:sz w:val="20"/>
                <w:szCs w:val="20"/>
                <w:color w:val="auto"/>
              </w:rPr>
            </w:pPr>
            <w:r>
              <w:rPr>
                <w:rFonts w:ascii="Arial" w:cs="Arial" w:eastAsia="Arial" w:hAnsi="Arial"/>
                <w:sz w:val="18"/>
                <w:szCs w:val="18"/>
                <w:color w:val="auto"/>
              </w:rPr>
              <w:t>$771,412</w:t>
            </w:r>
          </w:p>
        </w:tc>
        <w:tc>
          <w:tcPr>
            <w:tcW w:w="152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$680,000</w:t>
            </w:r>
          </w:p>
        </w:tc>
      </w:tr>
      <w:tr>
        <w:trPr>
          <w:trHeight w:val="288"/>
        </w:trPr>
        <w:tc>
          <w:tcPr>
            <w:tcW w:w="3680" w:type="dxa"/>
            <w:vAlign w:val="bottom"/>
          </w:tcPr>
          <w:p>
            <w:pPr>
              <w:ind w:left="80"/>
              <w:spacing w:after="0"/>
              <w:rPr>
                <w:sz w:val="20"/>
                <w:szCs w:val="20"/>
                <w:color w:val="auto"/>
              </w:rPr>
            </w:pPr>
            <w:r>
              <w:rPr>
                <w:rFonts w:ascii="Arial" w:cs="Arial" w:eastAsia="Arial" w:hAnsi="Arial"/>
                <w:sz w:val="18"/>
                <w:szCs w:val="18"/>
                <w:color w:val="auto"/>
              </w:rPr>
              <w:t>Audit-Related Fees</w:t>
            </w:r>
          </w:p>
        </w:tc>
        <w:tc>
          <w:tcPr>
            <w:tcW w:w="3660" w:type="dxa"/>
            <w:vAlign w:val="bottom"/>
          </w:tcPr>
          <w:p>
            <w:pPr>
              <w:jc w:val="right"/>
              <w:ind w:right="612"/>
              <w:spacing w:after="0"/>
              <w:rPr>
                <w:sz w:val="20"/>
                <w:szCs w:val="20"/>
                <w:color w:val="auto"/>
              </w:rPr>
            </w:pPr>
            <w:r>
              <w:rPr>
                <w:rFonts w:ascii="Arial" w:cs="Arial" w:eastAsia="Arial" w:hAnsi="Arial"/>
                <w:sz w:val="18"/>
                <w:szCs w:val="18"/>
                <w:color w:val="auto"/>
              </w:rPr>
              <w:t>$399,768</w:t>
            </w:r>
          </w:p>
        </w:tc>
        <w:tc>
          <w:tcPr>
            <w:tcW w:w="1520" w:type="dxa"/>
            <w:vAlign w:val="bottom"/>
          </w:tcPr>
          <w:p>
            <w:pPr>
              <w:jc w:val="right"/>
              <w:spacing w:after="0"/>
              <w:rPr>
                <w:sz w:val="20"/>
                <w:szCs w:val="20"/>
                <w:color w:val="auto"/>
              </w:rPr>
            </w:pPr>
            <w:r>
              <w:rPr>
                <w:rFonts w:ascii="Arial" w:cs="Arial" w:eastAsia="Arial" w:hAnsi="Arial"/>
                <w:sz w:val="18"/>
                <w:szCs w:val="18"/>
                <w:color w:val="auto"/>
              </w:rPr>
              <w:t>$185,149</w:t>
            </w:r>
          </w:p>
        </w:tc>
      </w:tr>
      <w:tr>
        <w:trPr>
          <w:trHeight w:val="50"/>
        </w:trPr>
        <w:tc>
          <w:tcPr>
            <w:tcW w:w="3680" w:type="dxa"/>
            <w:vAlign w:val="bottom"/>
          </w:tcPr>
          <w:p>
            <w:pPr>
              <w:spacing w:after="0"/>
              <w:rPr>
                <w:sz w:val="4"/>
                <w:szCs w:val="4"/>
                <w:color w:val="auto"/>
              </w:rPr>
            </w:pPr>
          </w:p>
        </w:tc>
        <w:tc>
          <w:tcPr>
            <w:tcW w:w="3660" w:type="dxa"/>
            <w:vAlign w:val="bottom"/>
          </w:tcPr>
          <w:p>
            <w:pPr>
              <w:spacing w:after="0"/>
              <w:rPr>
                <w:sz w:val="4"/>
                <w:szCs w:val="4"/>
                <w:color w:val="auto"/>
              </w:rPr>
            </w:pPr>
          </w:p>
        </w:tc>
        <w:tc>
          <w:tcPr>
            <w:tcW w:w="1520" w:type="dxa"/>
            <w:vAlign w:val="bottom"/>
          </w:tcPr>
          <w:p>
            <w:pPr>
              <w:spacing w:after="0"/>
              <w:rPr>
                <w:sz w:val="4"/>
                <w:szCs w:val="4"/>
                <w:color w:val="auto"/>
              </w:rPr>
            </w:pPr>
          </w:p>
        </w:tc>
      </w:tr>
      <w:tr>
        <w:trPr>
          <w:trHeight w:val="318"/>
        </w:trPr>
        <w:tc>
          <w:tcPr>
            <w:tcW w:w="3680" w:type="dxa"/>
            <w:vAlign w:val="bottom"/>
            <w:tcBorders>
              <w:bottom w:val="single" w:sz="8" w:color="D7E7F5"/>
            </w:tcBorders>
            <w:shd w:val="clear" w:color="auto" w:fill="D7E7F5"/>
          </w:tcPr>
          <w:p>
            <w:pPr>
              <w:ind w:left="80"/>
              <w:spacing w:after="0"/>
              <w:rPr>
                <w:sz w:val="20"/>
                <w:szCs w:val="20"/>
                <w:color w:val="auto"/>
              </w:rPr>
            </w:pPr>
            <w:r>
              <w:rPr>
                <w:rFonts w:ascii="Arial" w:cs="Arial" w:eastAsia="Arial" w:hAnsi="Arial"/>
                <w:sz w:val="18"/>
                <w:szCs w:val="18"/>
                <w:color w:val="auto"/>
              </w:rPr>
              <w:t>Tax Fees</w:t>
            </w:r>
          </w:p>
        </w:tc>
        <w:tc>
          <w:tcPr>
            <w:tcW w:w="3660" w:type="dxa"/>
            <w:vAlign w:val="bottom"/>
            <w:tcBorders>
              <w:bottom w:val="single" w:sz="8" w:color="D7E7F5"/>
            </w:tcBorders>
            <w:shd w:val="clear" w:color="auto" w:fill="D7E7F5"/>
          </w:tcPr>
          <w:p>
            <w:pPr>
              <w:jc w:val="right"/>
              <w:ind w:right="612"/>
              <w:spacing w:after="0"/>
              <w:rPr>
                <w:sz w:val="20"/>
                <w:szCs w:val="20"/>
                <w:color w:val="auto"/>
              </w:rPr>
            </w:pPr>
            <w:r>
              <w:rPr>
                <w:rFonts w:ascii="Arial" w:cs="Arial" w:eastAsia="Arial" w:hAnsi="Arial"/>
                <w:sz w:val="18"/>
                <w:szCs w:val="18"/>
                <w:color w:val="auto"/>
              </w:rPr>
              <w:t>—</w:t>
            </w:r>
          </w:p>
        </w:tc>
        <w:tc>
          <w:tcPr>
            <w:tcW w:w="152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w:t>
            </w:r>
          </w:p>
        </w:tc>
      </w:tr>
      <w:tr>
        <w:trPr>
          <w:trHeight w:val="288"/>
        </w:trPr>
        <w:tc>
          <w:tcPr>
            <w:tcW w:w="3680" w:type="dxa"/>
            <w:vAlign w:val="bottom"/>
          </w:tcPr>
          <w:p>
            <w:pPr>
              <w:ind w:left="80"/>
              <w:spacing w:after="0"/>
              <w:rPr>
                <w:sz w:val="20"/>
                <w:szCs w:val="20"/>
                <w:color w:val="auto"/>
              </w:rPr>
            </w:pPr>
            <w:r>
              <w:rPr>
                <w:rFonts w:ascii="Arial" w:cs="Arial" w:eastAsia="Arial" w:hAnsi="Arial"/>
                <w:sz w:val="18"/>
                <w:szCs w:val="18"/>
                <w:color w:val="auto"/>
              </w:rPr>
              <w:t>All Other Fees</w:t>
            </w:r>
          </w:p>
        </w:tc>
        <w:tc>
          <w:tcPr>
            <w:tcW w:w="3660" w:type="dxa"/>
            <w:vAlign w:val="bottom"/>
          </w:tcPr>
          <w:p>
            <w:pPr>
              <w:jc w:val="right"/>
              <w:ind w:right="612"/>
              <w:spacing w:after="0"/>
              <w:rPr>
                <w:sz w:val="20"/>
                <w:szCs w:val="20"/>
                <w:color w:val="auto"/>
              </w:rPr>
            </w:pPr>
            <w:r>
              <w:rPr>
                <w:rFonts w:ascii="Arial" w:cs="Arial" w:eastAsia="Arial" w:hAnsi="Arial"/>
                <w:sz w:val="18"/>
                <w:szCs w:val="18"/>
                <w:color w:val="auto"/>
              </w:rPr>
              <w:t>—</w:t>
            </w:r>
          </w:p>
        </w:tc>
        <w:tc>
          <w:tcPr>
            <w:tcW w:w="15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50"/>
        </w:trPr>
        <w:tc>
          <w:tcPr>
            <w:tcW w:w="3680" w:type="dxa"/>
            <w:vAlign w:val="bottom"/>
          </w:tcPr>
          <w:p>
            <w:pPr>
              <w:spacing w:after="0"/>
              <w:rPr>
                <w:sz w:val="4"/>
                <w:szCs w:val="4"/>
                <w:color w:val="auto"/>
              </w:rPr>
            </w:pPr>
          </w:p>
        </w:tc>
        <w:tc>
          <w:tcPr>
            <w:tcW w:w="3660" w:type="dxa"/>
            <w:vAlign w:val="bottom"/>
          </w:tcPr>
          <w:p>
            <w:pPr>
              <w:spacing w:after="0"/>
              <w:rPr>
                <w:sz w:val="4"/>
                <w:szCs w:val="4"/>
                <w:color w:val="auto"/>
              </w:rPr>
            </w:pPr>
          </w:p>
        </w:tc>
        <w:tc>
          <w:tcPr>
            <w:tcW w:w="1520" w:type="dxa"/>
            <w:vAlign w:val="bottom"/>
          </w:tcPr>
          <w:p>
            <w:pPr>
              <w:spacing w:after="0"/>
              <w:rPr>
                <w:sz w:val="4"/>
                <w:szCs w:val="4"/>
                <w:color w:val="auto"/>
              </w:rPr>
            </w:pPr>
          </w:p>
        </w:tc>
      </w:tr>
      <w:tr>
        <w:trPr>
          <w:trHeight w:val="304"/>
        </w:trPr>
        <w:tc>
          <w:tcPr>
            <w:tcW w:w="3680" w:type="dxa"/>
            <w:vAlign w:val="bottom"/>
            <w:tcBorders>
              <w:bottom w:val="single" w:sz="8" w:color="D7E7F5"/>
            </w:tcBorders>
            <w:shd w:val="clear" w:color="auto" w:fill="D7E7F5"/>
          </w:tcPr>
          <w:p>
            <w:pPr>
              <w:ind w:left="80"/>
              <w:spacing w:after="0"/>
              <w:rPr>
                <w:sz w:val="20"/>
                <w:szCs w:val="20"/>
                <w:color w:val="auto"/>
              </w:rPr>
            </w:pPr>
            <w:r>
              <w:rPr>
                <w:rFonts w:ascii="Arial" w:cs="Arial" w:eastAsia="Arial" w:hAnsi="Arial"/>
                <w:sz w:val="18"/>
                <w:szCs w:val="18"/>
                <w:b w:val="1"/>
                <w:bCs w:val="1"/>
                <w:color w:val="auto"/>
              </w:rPr>
              <w:t>Total</w:t>
            </w:r>
          </w:p>
        </w:tc>
        <w:tc>
          <w:tcPr>
            <w:tcW w:w="3660" w:type="dxa"/>
            <w:vAlign w:val="bottom"/>
            <w:tcBorders>
              <w:bottom w:val="single" w:sz="8" w:color="D7E7F5"/>
            </w:tcBorders>
            <w:shd w:val="clear" w:color="auto" w:fill="D7E7F5"/>
          </w:tcPr>
          <w:p>
            <w:pPr>
              <w:jc w:val="right"/>
              <w:ind w:right="612"/>
              <w:spacing w:after="0"/>
              <w:rPr>
                <w:sz w:val="20"/>
                <w:szCs w:val="20"/>
                <w:color w:val="auto"/>
              </w:rPr>
            </w:pPr>
            <w:r>
              <w:rPr>
                <w:rFonts w:ascii="Arial" w:cs="Arial" w:eastAsia="Arial" w:hAnsi="Arial"/>
                <w:sz w:val="18"/>
                <w:szCs w:val="18"/>
                <w:b w:val="1"/>
                <w:bCs w:val="1"/>
                <w:color w:val="auto"/>
              </w:rPr>
              <w:t>$1,171,180</w:t>
            </w:r>
          </w:p>
        </w:tc>
        <w:tc>
          <w:tcPr>
            <w:tcW w:w="152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b w:val="1"/>
                <w:bCs w:val="1"/>
                <w:color w:val="auto"/>
              </w:rPr>
              <w:t>$865,149</w:t>
            </w:r>
          </w:p>
        </w:tc>
      </w:tr>
      <w:tr>
        <w:trPr>
          <w:trHeight w:val="20"/>
        </w:trPr>
        <w:tc>
          <w:tcPr>
            <w:tcW w:w="3680" w:type="dxa"/>
            <w:vAlign w:val="bottom"/>
            <w:shd w:val="clear" w:color="auto" w:fill="0065C1"/>
          </w:tcPr>
          <w:p>
            <w:pPr>
              <w:spacing w:after="0" w:line="20" w:lineRule="exact"/>
              <w:rPr>
                <w:sz w:val="1"/>
                <w:szCs w:val="1"/>
                <w:color w:val="auto"/>
              </w:rPr>
            </w:pPr>
          </w:p>
        </w:tc>
        <w:tc>
          <w:tcPr>
            <w:tcW w:w="3660" w:type="dxa"/>
            <w:vAlign w:val="bottom"/>
            <w:shd w:val="clear" w:color="auto" w:fill="0065C1"/>
          </w:tcPr>
          <w:p>
            <w:pPr>
              <w:spacing w:after="0" w:line="20" w:lineRule="exact"/>
              <w:rPr>
                <w:sz w:val="1"/>
                <w:szCs w:val="1"/>
                <w:color w:val="auto"/>
              </w:rPr>
            </w:pPr>
          </w:p>
        </w:tc>
        <w:tc>
          <w:tcPr>
            <w:tcW w:w="1520" w:type="dxa"/>
            <w:vAlign w:val="bottom"/>
            <w:shd w:val="clear" w:color="auto" w:fill="0065C1"/>
          </w:tcPr>
          <w:p>
            <w:pPr>
              <w:spacing w:after="0" w:line="20" w:lineRule="exact"/>
              <w:rPr>
                <w:sz w:val="1"/>
                <w:szCs w:val="1"/>
                <w:color w:val="auto"/>
              </w:rPr>
            </w:pPr>
          </w:p>
        </w:tc>
      </w:tr>
    </w:tbl>
    <w:p>
      <w:pPr>
        <w:spacing w:after="0" w:line="180" w:lineRule="exact"/>
        <w:rPr>
          <w:sz w:val="20"/>
          <w:szCs w:val="20"/>
          <w:color w:val="auto"/>
        </w:rPr>
      </w:pPr>
    </w:p>
    <w:p>
      <w:pPr>
        <w:ind w:left="80"/>
        <w:spacing w:after="0"/>
        <w:rPr>
          <w:sz w:val="20"/>
          <w:szCs w:val="20"/>
          <w:color w:val="auto"/>
        </w:rPr>
      </w:pPr>
      <w:r>
        <w:rPr>
          <w:rFonts w:ascii="Arial" w:cs="Arial" w:eastAsia="Arial" w:hAnsi="Arial"/>
          <w:sz w:val="18"/>
          <w:szCs w:val="18"/>
          <w:color w:val="auto"/>
        </w:rPr>
        <w:t>The following is a description of the type of services included within the categories listed above:</w:t>
      </w:r>
    </w:p>
    <w:p>
      <w:pPr>
        <w:spacing w:after="0" w:line="104" w:lineRule="exact"/>
        <w:rPr>
          <w:sz w:val="20"/>
          <w:szCs w:val="20"/>
          <w:color w:val="auto"/>
        </w:rPr>
      </w:pPr>
    </w:p>
    <w:p>
      <w:pPr>
        <w:jc w:val="both"/>
        <w:ind w:left="780" w:right="99" w:hanging="344"/>
        <w:spacing w:after="0" w:line="255" w:lineRule="auto"/>
        <w:tabs>
          <w:tab w:leader="none" w:pos="780" w:val="left"/>
        </w:tabs>
        <w:numPr>
          <w:ilvl w:val="0"/>
          <w:numId w:val="5"/>
        </w:numPr>
        <w:rPr>
          <w:rFonts w:ascii="Arial" w:cs="Arial" w:eastAsia="Arial" w:hAnsi="Arial"/>
          <w:sz w:val="18"/>
          <w:szCs w:val="18"/>
          <w:color w:val="0065C1"/>
        </w:rPr>
      </w:pPr>
      <w:r>
        <w:rPr>
          <w:rFonts w:ascii="Arial" w:cs="Arial" w:eastAsia="Arial" w:hAnsi="Arial"/>
          <w:sz w:val="18"/>
          <w:szCs w:val="18"/>
          <w:color w:val="auto"/>
        </w:rPr>
        <w:t>Audit fees include aggregate fees billed for professional services rendered by KPMG, for the audit of the Bank’s annual financial statements and services that are normally provided in connection with statutory and regulatory filings or engagements.</w:t>
      </w:r>
    </w:p>
    <w:p>
      <w:pPr>
        <w:spacing w:after="0" w:line="55" w:lineRule="exact"/>
        <w:rPr>
          <w:rFonts w:ascii="Arial" w:cs="Arial" w:eastAsia="Arial" w:hAnsi="Arial"/>
          <w:sz w:val="18"/>
          <w:szCs w:val="18"/>
          <w:color w:val="0065C1"/>
        </w:rPr>
      </w:pPr>
    </w:p>
    <w:p>
      <w:pPr>
        <w:jc w:val="both"/>
        <w:ind w:left="780" w:right="99" w:hanging="344"/>
        <w:spacing w:after="0" w:line="248" w:lineRule="auto"/>
        <w:tabs>
          <w:tab w:leader="none" w:pos="780" w:val="left"/>
        </w:tabs>
        <w:numPr>
          <w:ilvl w:val="0"/>
          <w:numId w:val="5"/>
        </w:numPr>
        <w:rPr>
          <w:rFonts w:ascii="Arial" w:cs="Arial" w:eastAsia="Arial" w:hAnsi="Arial"/>
          <w:sz w:val="18"/>
          <w:szCs w:val="18"/>
          <w:color w:val="0065C1"/>
        </w:rPr>
      </w:pPr>
      <w:r>
        <w:rPr>
          <w:rFonts w:ascii="Arial" w:cs="Arial" w:eastAsia="Arial" w:hAnsi="Arial"/>
          <w:sz w:val="18"/>
          <w:szCs w:val="18"/>
          <w:color w:val="auto"/>
        </w:rPr>
        <w:t>Audit-related fees include aggregate fees billed for assurance and related services by KPMG and Deloitte, respectively, that are reasonably related to the performance of the audit or review of the Bank’s financial statements and are not reported under the “Audit fees”. These services are associated primarily with funding programs as part of the normal course of business of the Bank.</w:t>
      </w:r>
    </w:p>
    <w:p>
      <w:pPr>
        <w:spacing w:after="0" w:line="103" w:lineRule="exact"/>
        <w:rPr>
          <w:sz w:val="20"/>
          <w:szCs w:val="20"/>
          <w:color w:val="auto"/>
        </w:rPr>
      </w:pPr>
    </w:p>
    <w:p>
      <w:pPr>
        <w:jc w:val="both"/>
        <w:ind w:left="80" w:right="99"/>
        <w:spacing w:after="0" w:line="276" w:lineRule="auto"/>
        <w:rPr>
          <w:sz w:val="20"/>
          <w:szCs w:val="20"/>
          <w:color w:val="auto"/>
        </w:rPr>
      </w:pPr>
      <w:r>
        <w:rPr>
          <w:rFonts w:ascii="Arial" w:cs="Arial" w:eastAsia="Arial" w:hAnsi="Arial"/>
          <w:sz w:val="18"/>
          <w:szCs w:val="18"/>
          <w:color w:val="auto"/>
        </w:rPr>
        <w:t>The Audit Committee’s Charter may be found on the Bank’s website at https://www.bladex.com/en/corporate-governance/committees-board.</w:t>
      </w:r>
    </w:p>
    <w:p>
      <w:pPr>
        <w:spacing w:after="0" w:line="172"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Risk Policy and Assessment Committee</w:t>
      </w:r>
    </w:p>
    <w:p>
      <w:pPr>
        <w:spacing w:after="0" w:line="152" w:lineRule="exact"/>
        <w:rPr>
          <w:sz w:val="20"/>
          <w:szCs w:val="20"/>
          <w:color w:val="auto"/>
        </w:rPr>
      </w:pPr>
    </w:p>
    <w:p>
      <w:pPr>
        <w:jc w:val="both"/>
        <w:ind w:left="80" w:right="79"/>
        <w:spacing w:after="0" w:line="248" w:lineRule="auto"/>
        <w:rPr>
          <w:sz w:val="20"/>
          <w:szCs w:val="20"/>
          <w:color w:val="auto"/>
        </w:rPr>
      </w:pPr>
      <w:r>
        <w:rPr>
          <w:rFonts w:ascii="Arial" w:cs="Arial" w:eastAsia="Arial" w:hAnsi="Arial"/>
          <w:sz w:val="18"/>
          <w:szCs w:val="18"/>
          <w:color w:val="auto"/>
        </w:rPr>
        <w:t>The Risk Policy and Assessment Committee is a standing Committee of the Board. According to its Charter, the Risk Policy and Assessment Committee must be comprised of at least three directors. The current members of the Risk Policy and Assessment Committee are Mr. Miguel Heras Castro (Chair), Mr. Ricardo Manuel Arango, Mr. Herminio A. Blanco, Mr. Mario Covo and Mr. Roland Holst.</w:t>
      </w:r>
    </w:p>
    <w:p>
      <w:pPr>
        <w:spacing w:after="0" w:line="103" w:lineRule="exact"/>
        <w:rPr>
          <w:sz w:val="20"/>
          <w:szCs w:val="20"/>
          <w:color w:val="auto"/>
        </w:rPr>
      </w:pPr>
    </w:p>
    <w:p>
      <w:pPr>
        <w:jc w:val="both"/>
        <w:ind w:left="80" w:right="79"/>
        <w:spacing w:after="0" w:line="241" w:lineRule="auto"/>
        <w:rPr>
          <w:sz w:val="20"/>
          <w:szCs w:val="20"/>
          <w:color w:val="auto"/>
        </w:rPr>
      </w:pPr>
      <w:r>
        <w:rPr>
          <w:rFonts w:ascii="Arial" w:cs="Arial" w:eastAsia="Arial" w:hAnsi="Arial"/>
          <w:sz w:val="18"/>
          <w:szCs w:val="18"/>
          <w:color w:val="auto"/>
        </w:rPr>
        <w:t>The Risk Policy and Assessment Committee is responsible for reviewing and recommending to the Board, for its approval, all policies related to the prudent enterprise risk management. The Committee also reviews and assesses exposures to the risks facing the Bank’s business within the risk levels the Bank is willing to take in accordance with its applicable policies, including the review and assessment of the quality and profile of the Bank’s credit facilities, the exposure to country, market, liquidity, technological, and information security (including cybersecurity) risks and the analysis of operational risks, which take into account the model risk and legal risks associated with the Bank’s products.</w:t>
      </w:r>
    </w:p>
    <w:p>
      <w:pPr>
        <w:spacing w:after="0" w:line="98" w:lineRule="exact"/>
        <w:rPr>
          <w:sz w:val="20"/>
          <w:szCs w:val="20"/>
          <w:color w:val="auto"/>
        </w:rPr>
      </w:pPr>
    </w:p>
    <w:p>
      <w:pPr>
        <w:jc w:val="both"/>
        <w:ind w:left="80" w:right="99"/>
        <w:spacing w:after="0" w:line="245" w:lineRule="auto"/>
        <w:rPr>
          <w:sz w:val="20"/>
          <w:szCs w:val="20"/>
          <w:color w:val="auto"/>
        </w:rPr>
      </w:pPr>
      <w:r>
        <w:rPr>
          <w:rFonts w:ascii="Arial" w:cs="Arial" w:eastAsia="Arial" w:hAnsi="Arial"/>
          <w:sz w:val="18"/>
          <w:szCs w:val="18"/>
          <w:color w:val="auto"/>
        </w:rPr>
        <w:t>In addition, the Risk Policy and Assessment Committee assesses and approves credit limits and approves management proposals for granting different types of financing up to the legal limit applicable to the Bank in accordance with current regulations on the date of approval with respect to each transaction and/or economic group. It reports to the Board and refers transactions for consideration and approval by the Board when the transaction limit exceeds its delegated authorizations.</w:t>
      </w:r>
    </w:p>
    <w:p>
      <w:pPr>
        <w:spacing w:after="0" w:line="105" w:lineRule="exact"/>
        <w:rPr>
          <w:sz w:val="20"/>
          <w:szCs w:val="20"/>
          <w:color w:val="auto"/>
        </w:rPr>
      </w:pPr>
    </w:p>
    <w:p>
      <w:pPr>
        <w:jc w:val="both"/>
        <w:ind w:left="80" w:right="79"/>
        <w:spacing w:after="0" w:line="245" w:lineRule="auto"/>
        <w:rPr>
          <w:sz w:val="20"/>
          <w:szCs w:val="20"/>
          <w:color w:val="auto"/>
        </w:rPr>
      </w:pPr>
      <w:r>
        <w:rPr>
          <w:rFonts w:ascii="Arial" w:cs="Arial" w:eastAsia="Arial" w:hAnsi="Arial"/>
          <w:sz w:val="18"/>
          <w:szCs w:val="18"/>
          <w:color w:val="auto"/>
        </w:rPr>
        <w:t>The Risk Policy and Assessment Committee performs its duties through the review of reports received regularly from management and through its interactions with the Risk Management area and other members of the Bank’s management. The Risk Policy and Assessment Committee charter requires the Committee to meet at least four times per year. During the fiscal period ended December 31, 2020, the Risk Policy and Assessment Committee held thirteen meetings.</w:t>
      </w:r>
    </w:p>
    <w:p>
      <w:pPr>
        <w:spacing w:after="0" w:line="105" w:lineRule="exact"/>
        <w:rPr>
          <w:sz w:val="20"/>
          <w:szCs w:val="20"/>
          <w:color w:val="auto"/>
        </w:rPr>
      </w:pPr>
    </w:p>
    <w:p>
      <w:pPr>
        <w:jc w:val="both"/>
        <w:ind w:left="80" w:right="99"/>
        <w:spacing w:after="0" w:line="276" w:lineRule="auto"/>
        <w:rPr>
          <w:sz w:val="20"/>
          <w:szCs w:val="20"/>
          <w:color w:val="auto"/>
        </w:rPr>
      </w:pPr>
      <w:r>
        <w:rPr>
          <w:rFonts w:ascii="Arial" w:cs="Arial" w:eastAsia="Arial" w:hAnsi="Arial"/>
          <w:sz w:val="18"/>
          <w:szCs w:val="18"/>
          <w:color w:val="auto"/>
        </w:rPr>
        <w:t>The Risk Policy and Assessment Committee Charter may be found on the Bank’s website at https://www.bladex.com/en/corporate-governance/committees-board.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106680</wp:posOffset>
            </wp:positionV>
            <wp:extent cx="5623560" cy="88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192405</wp:posOffset>
            </wp:positionV>
            <wp:extent cx="411480" cy="18034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98"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18</w:t>
        <w:tab/>
        <w:t>Proxy Statement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25" w:name="page26"/>
    <w:bookmarkEnd w:id="25"/>
    <w:p>
      <w:pPr>
        <w:jc w:val="right"/>
        <w:ind w:left="520" w:right="79"/>
        <w:spacing w:after="0" w:line="251" w:lineRule="auto"/>
        <w:rPr>
          <w:sz w:val="20"/>
          <w:szCs w:val="20"/>
          <w:color w:val="auto"/>
        </w:rPr>
      </w:pPr>
      <w:r>
        <w:rPr>
          <w:rFonts w:ascii="Arial" w:cs="Arial" w:eastAsia="Arial" w:hAnsi="Arial"/>
          <w:sz w:val="22"/>
          <w:szCs w:val="22"/>
          <w:color w:val="0065C1"/>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182880</wp:posOffset>
            </wp:positionV>
            <wp:extent cx="5623560" cy="825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394"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Finance and Business Committee</w:t>
      </w:r>
    </w:p>
    <w:p>
      <w:pPr>
        <w:spacing w:after="0" w:line="152" w:lineRule="exact"/>
        <w:rPr>
          <w:sz w:val="20"/>
          <w:szCs w:val="20"/>
          <w:color w:val="auto"/>
        </w:rPr>
      </w:pPr>
    </w:p>
    <w:p>
      <w:pPr>
        <w:jc w:val="both"/>
        <w:ind w:left="80" w:right="99"/>
        <w:spacing w:after="0" w:line="248" w:lineRule="auto"/>
        <w:rPr>
          <w:sz w:val="20"/>
          <w:szCs w:val="20"/>
          <w:color w:val="auto"/>
        </w:rPr>
      </w:pPr>
      <w:r>
        <w:rPr>
          <w:rFonts w:ascii="Arial" w:cs="Arial" w:eastAsia="Arial" w:hAnsi="Arial"/>
          <w:sz w:val="18"/>
          <w:szCs w:val="18"/>
          <w:color w:val="auto"/>
        </w:rPr>
        <w:t>The Finance and Business Committee is a standing Committee of the Board. According to its Charter, the Finance and Business Committee must be comprised of at least three directors. The current members of the Finance and Business Committee are Mr. Mario Covo (Chair), Mr. Ricardo Manuel Arango, Mr. Miguel Heras Castro, Mr. Roland Holst and Mr. João Carlos de Nóbrega Pecego.</w:t>
      </w:r>
    </w:p>
    <w:p>
      <w:pPr>
        <w:spacing w:after="0" w:line="89" w:lineRule="exact"/>
        <w:rPr>
          <w:sz w:val="20"/>
          <w:szCs w:val="20"/>
          <w:color w:val="auto"/>
        </w:rPr>
      </w:pPr>
    </w:p>
    <w:p>
      <w:pPr>
        <w:jc w:val="both"/>
        <w:ind w:left="80" w:right="79"/>
        <w:spacing w:after="0" w:line="243" w:lineRule="auto"/>
        <w:rPr>
          <w:sz w:val="20"/>
          <w:szCs w:val="20"/>
          <w:color w:val="auto"/>
        </w:rPr>
      </w:pPr>
      <w:r>
        <w:rPr>
          <w:rFonts w:ascii="Arial" w:cs="Arial" w:eastAsia="Arial" w:hAnsi="Arial"/>
          <w:sz w:val="18"/>
          <w:szCs w:val="18"/>
          <w:color w:val="auto"/>
        </w:rPr>
        <w:t>The fundamental role of the Finance and Business Committee is to review and analyze all issues related to the development and execution of the Bank’s business and its financial management including, among others, capital management, portfolio management (assets and liabilities), liquidity management, gap and funding management, tax related matters and, the financial performance of the Bank in general. The Finance and Business Committee charter requires the Committee to meet at least five times per year. During the fiscal year ended December 31, 2020, the Committee held six meetings.</w:t>
      </w:r>
    </w:p>
    <w:p>
      <w:pPr>
        <w:spacing w:after="0" w:line="106" w:lineRule="exact"/>
        <w:rPr>
          <w:sz w:val="20"/>
          <w:szCs w:val="20"/>
          <w:color w:val="auto"/>
        </w:rPr>
      </w:pPr>
    </w:p>
    <w:p>
      <w:pPr>
        <w:jc w:val="both"/>
        <w:ind w:left="80" w:right="99"/>
        <w:spacing w:after="0" w:line="276" w:lineRule="auto"/>
        <w:rPr>
          <w:sz w:val="20"/>
          <w:szCs w:val="20"/>
          <w:color w:val="auto"/>
        </w:rPr>
      </w:pPr>
      <w:r>
        <w:rPr>
          <w:rFonts w:ascii="Arial" w:cs="Arial" w:eastAsia="Arial" w:hAnsi="Arial"/>
          <w:sz w:val="18"/>
          <w:szCs w:val="18"/>
          <w:color w:val="auto"/>
        </w:rPr>
        <w:t>The Finance and Business Committee Charter may be found on the Bank’s website at https://www.bladex.com/en/corporate-governance/committees-board.</w:t>
      </w:r>
    </w:p>
    <w:p>
      <w:pPr>
        <w:spacing w:after="0" w:line="172"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Compliance and Anti-Money Laundering Committee</w:t>
      </w:r>
    </w:p>
    <w:p>
      <w:pPr>
        <w:spacing w:after="0" w:line="139" w:lineRule="exact"/>
        <w:rPr>
          <w:sz w:val="20"/>
          <w:szCs w:val="20"/>
          <w:color w:val="auto"/>
        </w:rPr>
      </w:pPr>
    </w:p>
    <w:p>
      <w:pPr>
        <w:jc w:val="both"/>
        <w:ind w:left="80" w:right="79"/>
        <w:spacing w:after="0" w:line="245" w:lineRule="auto"/>
        <w:rPr>
          <w:sz w:val="20"/>
          <w:szCs w:val="20"/>
          <w:color w:val="auto"/>
        </w:rPr>
      </w:pPr>
      <w:r>
        <w:rPr>
          <w:rFonts w:ascii="Arial" w:cs="Arial" w:eastAsia="Arial" w:hAnsi="Arial"/>
          <w:sz w:val="18"/>
          <w:szCs w:val="18"/>
          <w:color w:val="auto"/>
        </w:rPr>
        <w:t>The Compliance and Anti-Money Laundering Committee is a standing Committee of the Board. The current members of the Compliance and Anti-Money Laundering Committee are Directors Mr. Ricardo Manuel Arango (Chair) and Mr. José Alberto Garzón, and the Bank’s Chief Executive Officer, Chief Operating Officer, Chief Commercial Officer, Chief Risk Officer, Chief Audit Officer, Chief Legal Officer and Corpprate Secretary and Chief Compliance Officer.</w:t>
      </w:r>
    </w:p>
    <w:p>
      <w:pPr>
        <w:spacing w:after="0" w:line="105" w:lineRule="exact"/>
        <w:rPr>
          <w:sz w:val="20"/>
          <w:szCs w:val="20"/>
          <w:color w:val="auto"/>
        </w:rPr>
      </w:pPr>
    </w:p>
    <w:p>
      <w:pPr>
        <w:jc w:val="both"/>
        <w:ind w:left="80" w:right="79"/>
        <w:spacing w:after="0" w:line="248" w:lineRule="auto"/>
        <w:rPr>
          <w:sz w:val="20"/>
          <w:szCs w:val="20"/>
          <w:color w:val="auto"/>
        </w:rPr>
      </w:pPr>
      <w:r>
        <w:rPr>
          <w:rFonts w:ascii="Arial" w:cs="Arial" w:eastAsia="Arial" w:hAnsi="Arial"/>
          <w:sz w:val="18"/>
          <w:szCs w:val="18"/>
          <w:color w:val="auto"/>
        </w:rPr>
        <w:t>The Compliance and Anti-Money Laundering Committee acts in support of the Board, fulfilling its responsibilities in compliance matters while also fulfilling the functions attributed to them pursuant to applicable laws and regulations related to compliance, including the responsibility to direct the Bank’s Compliance Program on a strategic level.</w:t>
      </w:r>
    </w:p>
    <w:p>
      <w:pPr>
        <w:spacing w:after="0" w:line="103" w:lineRule="exact"/>
        <w:rPr>
          <w:sz w:val="20"/>
          <w:szCs w:val="20"/>
          <w:color w:val="auto"/>
        </w:rPr>
      </w:pPr>
    </w:p>
    <w:p>
      <w:pPr>
        <w:jc w:val="both"/>
        <w:ind w:left="80" w:right="99"/>
        <w:spacing w:after="0" w:line="241" w:lineRule="auto"/>
        <w:rPr>
          <w:sz w:val="20"/>
          <w:szCs w:val="20"/>
          <w:color w:val="auto"/>
        </w:rPr>
      </w:pPr>
      <w:r>
        <w:rPr>
          <w:rFonts w:ascii="Arial" w:cs="Arial" w:eastAsia="Arial" w:hAnsi="Arial"/>
          <w:sz w:val="18"/>
          <w:szCs w:val="18"/>
          <w:color w:val="auto"/>
        </w:rPr>
        <w:t>Compliance includes all the laws and regulations that are applicable to the Bank and are related to Anti-Money Laundering and the Combating of the Financing of Terrorism and the Proliferation of Weapons of Mass Destruction (AML/CFT), the U.S. Treasury Department’s Office of Foreign Assets Control (OFAC), the Foreign Accounts Tax Compliance Act (FATCA), the OECD’s Common Reporting Standards (CRS), and the Foreign Corrupt Practices Act (FCPA). The Committee holds regular meetings at least every two months. During the fiscal year ended December 31, 2020, the Compliance and Anti-Money Laundering Committee held six meetings.</w:t>
      </w:r>
    </w:p>
    <w:p>
      <w:pPr>
        <w:spacing w:after="0" w:line="98" w:lineRule="exact"/>
        <w:rPr>
          <w:sz w:val="20"/>
          <w:szCs w:val="20"/>
          <w:color w:val="auto"/>
        </w:rPr>
      </w:pPr>
    </w:p>
    <w:p>
      <w:pPr>
        <w:jc w:val="both"/>
        <w:ind w:left="80" w:right="99"/>
        <w:spacing w:after="0" w:line="276" w:lineRule="auto"/>
        <w:rPr>
          <w:sz w:val="20"/>
          <w:szCs w:val="20"/>
          <w:color w:val="auto"/>
        </w:rPr>
      </w:pPr>
      <w:r>
        <w:rPr>
          <w:rFonts w:ascii="Arial" w:cs="Arial" w:eastAsia="Arial" w:hAnsi="Arial"/>
          <w:sz w:val="18"/>
          <w:szCs w:val="18"/>
          <w:color w:val="auto"/>
        </w:rPr>
        <w:t>The Compliance and Anti-Money Laundering Committee Charter may be found on the Bank’s website at https://www.bladex.com/en/corporate-governance/committees-board.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106680</wp:posOffset>
            </wp:positionV>
            <wp:extent cx="5623560" cy="88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192405</wp:posOffset>
            </wp:positionV>
            <wp:extent cx="411480" cy="18034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98" w:lineRule="exact"/>
        <w:rPr>
          <w:sz w:val="20"/>
          <w:szCs w:val="20"/>
          <w:color w:val="auto"/>
        </w:rPr>
      </w:pPr>
    </w:p>
    <w:p>
      <w:pPr>
        <w:ind w:left="6600"/>
        <w:spacing w:after="0"/>
        <w:tabs>
          <w:tab w:leader="none" w:pos="8720" w:val="left"/>
        </w:tabs>
        <w:rPr>
          <w:sz w:val="20"/>
          <w:szCs w:val="20"/>
          <w:color w:val="auto"/>
        </w:rPr>
      </w:pPr>
      <w:r>
        <w:rPr>
          <w:rFonts w:ascii="Arial" w:cs="Arial" w:eastAsia="Arial" w:hAnsi="Arial"/>
          <w:sz w:val="18"/>
          <w:szCs w:val="18"/>
          <w:b w:val="1"/>
          <w:bCs w:val="1"/>
          <w:color w:val="auto"/>
        </w:rPr>
        <w:t>Proxy Statement 2021</w:t>
      </w:r>
      <w:r>
        <w:rPr>
          <w:sz w:val="20"/>
          <w:szCs w:val="20"/>
          <w:color w:val="auto"/>
        </w:rPr>
        <w:tab/>
      </w:r>
      <w:r>
        <w:rPr>
          <w:rFonts w:ascii="Arial" w:cs="Arial" w:eastAsia="Arial" w:hAnsi="Arial"/>
          <w:sz w:val="17"/>
          <w:szCs w:val="17"/>
          <w:b w:val="1"/>
          <w:bCs w:val="1"/>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193040</wp:posOffset>
            </wp:positionV>
            <wp:extent cx="6995160" cy="1714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26" w:name="page27"/>
    <w:bookmarkEnd w:id="26"/>
    <w:p>
      <w:pPr>
        <w:ind w:left="80" w:right="539"/>
        <w:spacing w:after="0" w:line="251" w:lineRule="auto"/>
        <w:rPr>
          <w:sz w:val="20"/>
          <w:szCs w:val="20"/>
          <w:color w:val="auto"/>
        </w:rPr>
      </w:pPr>
      <w:r>
        <w:rPr>
          <w:rFonts w:ascii="Arial" w:cs="Arial" w:eastAsia="Arial" w:hAnsi="Arial"/>
          <w:sz w:val="22"/>
          <w:szCs w:val="22"/>
          <w:color w:val="0065C1"/>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182880</wp:posOffset>
            </wp:positionV>
            <wp:extent cx="5623560" cy="825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394"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Compensation Committee</w:t>
      </w:r>
    </w:p>
    <w:p>
      <w:pPr>
        <w:spacing w:after="0" w:line="152" w:lineRule="exact"/>
        <w:rPr>
          <w:sz w:val="20"/>
          <w:szCs w:val="20"/>
          <w:color w:val="auto"/>
        </w:rPr>
      </w:pPr>
    </w:p>
    <w:p>
      <w:pPr>
        <w:jc w:val="both"/>
        <w:ind w:left="80" w:right="99"/>
        <w:spacing w:after="0" w:line="248" w:lineRule="auto"/>
        <w:rPr>
          <w:sz w:val="20"/>
          <w:szCs w:val="20"/>
          <w:color w:val="auto"/>
        </w:rPr>
      </w:pPr>
      <w:r>
        <w:rPr>
          <w:rFonts w:ascii="Arial" w:cs="Arial" w:eastAsia="Arial" w:hAnsi="Arial"/>
          <w:sz w:val="18"/>
          <w:szCs w:val="18"/>
          <w:color w:val="auto"/>
        </w:rPr>
        <w:t>The Compensation Committee is a standing Committee of the Board. According to its Charter, the Compensation Committee must be comprised of at least three directors. The current members of the Compensation Committee are Mr. João Carlos de Nóbrega Pecego (Chair), Ms. Alexandra M. Aguirre, Ms. Isela Costantini, Mr. José Alberto Garzón and Mr. Eduardo Hecker.</w:t>
      </w:r>
    </w:p>
    <w:p>
      <w:pPr>
        <w:spacing w:after="0" w:line="89"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The Charter of the Compensation Committee requires that all members of the Committee be independent directors. No member of the Compensation Committee can be an employee of the Bank. The Board has determined that all members of the Compensation Committee are independent under the terms defined by applicable laws and regulations, including rules promulgated by the SEC under the Sarbanes-Oxley Act, Section 303A of the Manual for Companies listed on the NYSE, and Rule No. 05-2011 as amended by Rule 05-2014 of the Superintendency of Banks of Panama. The Compensation Committee charter requires the Committee to meet at least five times per year. During the fiscal year ended December 31, 2020, the Compensation Committee held six meetings.</w:t>
      </w:r>
    </w:p>
    <w:p>
      <w:pPr>
        <w:spacing w:after="0" w:line="113"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The Compensation Committee’s primary responsibilities are to assist the Board by: identifying candidates to become Board members and recommending nominees for the annual meetings of shareholders; making recommendations to the Board concerning candidates for Chief Executive Officer and counseling on succession planning for executive officers; recommending compensation for Board members and Committee members, including cash and equity compensation; recommending compensation policies for executive officers and employees of the Bank, including cash and equity compensation, policies for senior management and employee benefit programs and plans; reviewing and recommending changes to the Bank’s Code of Ethics; and advising executive officers on issues related to the Bank’s personnel. Additionally, this Committee submits recommendations on issues related to improving the Bank´s operating model and evaluates and proposes technology and communications strategic plans. Further, the Compensation Committee is responsible for promoting continued improvement in the Bank’s corporate governance and verifying compliance with all applicable policies.</w:t>
      </w:r>
    </w:p>
    <w:p>
      <w:pPr>
        <w:spacing w:after="0" w:line="115" w:lineRule="exact"/>
        <w:rPr>
          <w:sz w:val="20"/>
          <w:szCs w:val="20"/>
          <w:color w:val="auto"/>
        </w:rPr>
      </w:pPr>
    </w:p>
    <w:p>
      <w:pPr>
        <w:jc w:val="both"/>
        <w:ind w:left="80" w:right="99"/>
        <w:spacing w:after="0" w:line="241" w:lineRule="auto"/>
        <w:rPr>
          <w:sz w:val="20"/>
          <w:szCs w:val="20"/>
          <w:color w:val="auto"/>
        </w:rPr>
      </w:pPr>
      <w:r>
        <w:rPr>
          <w:rFonts w:ascii="Arial" w:cs="Arial" w:eastAsia="Arial" w:hAnsi="Arial"/>
          <w:sz w:val="18"/>
          <w:szCs w:val="18"/>
          <w:color w:val="auto"/>
        </w:rPr>
        <w:t>The Compensation Committee considers qualified director candidates recommended by shareholders. All director candidates are evaluated in the same manner regardless of how they are recommended, including recommendations by shareholders. For the current director nominees, the Committee considered candidate qualifications and other factors, including, but not limited to, diversity in background and experience, industry knowledge, educational level and the needs of the Bank. Shareholders can mail any recommendations and an explanation of the qualifications of the candidates to the Secretary of the Bank at Torre V, Business Park, P.O. Box 0819-08730, Panama City, Republic of Panama.</w:t>
      </w:r>
    </w:p>
    <w:p>
      <w:pPr>
        <w:spacing w:after="0" w:line="152" w:lineRule="exact"/>
        <w:rPr>
          <w:sz w:val="20"/>
          <w:szCs w:val="20"/>
          <w:color w:val="auto"/>
        </w:rPr>
      </w:pPr>
    </w:p>
    <w:p>
      <w:pPr>
        <w:jc w:val="both"/>
        <w:ind w:left="80" w:right="99"/>
        <w:spacing w:after="0" w:line="276" w:lineRule="auto"/>
        <w:rPr>
          <w:sz w:val="20"/>
          <w:szCs w:val="20"/>
          <w:color w:val="auto"/>
        </w:rPr>
      </w:pPr>
      <w:r>
        <w:rPr>
          <w:rFonts w:ascii="Arial" w:cs="Arial" w:eastAsia="Arial" w:hAnsi="Arial"/>
          <w:sz w:val="18"/>
          <w:szCs w:val="18"/>
          <w:color w:val="auto"/>
        </w:rPr>
        <w:t>The Charter of the Compensation Committee requires an annual self-evaluation of the Committee’s performance.</w:t>
      </w:r>
    </w:p>
    <w:p>
      <w:pPr>
        <w:spacing w:after="0" w:line="64" w:lineRule="exact"/>
        <w:rPr>
          <w:sz w:val="20"/>
          <w:szCs w:val="20"/>
          <w:color w:val="auto"/>
        </w:rPr>
      </w:pPr>
    </w:p>
    <w:p>
      <w:pPr>
        <w:jc w:val="both"/>
        <w:ind w:left="80" w:right="99"/>
        <w:spacing w:after="0" w:line="276" w:lineRule="auto"/>
        <w:rPr>
          <w:sz w:val="20"/>
          <w:szCs w:val="20"/>
          <w:color w:val="auto"/>
        </w:rPr>
      </w:pPr>
      <w:r>
        <w:rPr>
          <w:rFonts w:ascii="Arial" w:cs="Arial" w:eastAsia="Arial" w:hAnsi="Arial"/>
          <w:sz w:val="18"/>
          <w:szCs w:val="18"/>
          <w:color w:val="auto"/>
        </w:rPr>
        <w:t>The Compensation Committee Charter may be found on the Bank’s website at https://www.bladex.com/en/corporate-governance/committees-board.</w:t>
      </w:r>
    </w:p>
    <w:p>
      <w:pPr>
        <w:spacing w:after="0" w:line="77" w:lineRule="exact"/>
        <w:rPr>
          <w:sz w:val="20"/>
          <w:szCs w:val="20"/>
          <w:color w:val="auto"/>
        </w:rPr>
      </w:pPr>
    </w:p>
    <w:p>
      <w:pPr>
        <w:jc w:val="both"/>
        <w:ind w:left="80" w:right="99"/>
        <w:spacing w:after="0" w:line="248" w:lineRule="auto"/>
        <w:rPr>
          <w:sz w:val="20"/>
          <w:szCs w:val="20"/>
          <w:color w:val="auto"/>
        </w:rPr>
      </w:pPr>
      <w:r>
        <w:rPr>
          <w:rFonts w:ascii="Arial" w:cs="Arial" w:eastAsia="Arial" w:hAnsi="Arial"/>
          <w:sz w:val="18"/>
          <w:szCs w:val="18"/>
          <w:color w:val="auto"/>
        </w:rPr>
        <w:t>None of the Bank’s executive officers serve as a director or a member of the Compensation Committee, or any other Committee serving an equivalent function, of any other entity that has one or more of its executive officers serving as a member of the Board or the Compensation Committee. None of the members of the Compensation Committee has ever been an employee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122555</wp:posOffset>
            </wp:positionV>
            <wp:extent cx="5623560" cy="825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208280</wp:posOffset>
            </wp:positionV>
            <wp:extent cx="411480" cy="18034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24"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20</w:t>
        <w:tab/>
        <w:t>Proxy Statement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27" w:name="page28"/>
    <w:bookmarkEnd w:id="27"/>
    <w:p>
      <w:pPr>
        <w:jc w:val="right"/>
        <w:ind w:left="520" w:right="79"/>
        <w:spacing w:after="0" w:line="251" w:lineRule="auto"/>
        <w:rPr>
          <w:sz w:val="20"/>
          <w:szCs w:val="20"/>
          <w:color w:val="auto"/>
        </w:rPr>
      </w:pPr>
      <w:r>
        <w:rPr>
          <w:rFonts w:ascii="Arial" w:cs="Arial" w:eastAsia="Arial" w:hAnsi="Arial"/>
          <w:sz w:val="22"/>
          <w:szCs w:val="22"/>
          <w:color w:val="0065C1"/>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182880</wp:posOffset>
            </wp:positionV>
            <wp:extent cx="5623560" cy="825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394"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Executive Officers</w:t>
      </w:r>
    </w:p>
    <w:p>
      <w:pPr>
        <w:spacing w:after="0" w:line="179" w:lineRule="exact"/>
        <w:rPr>
          <w:sz w:val="20"/>
          <w:szCs w:val="20"/>
          <w:color w:val="auto"/>
        </w:rPr>
      </w:pPr>
    </w:p>
    <w:p>
      <w:pPr>
        <w:ind w:left="80"/>
        <w:spacing w:after="0"/>
        <w:rPr>
          <w:sz w:val="20"/>
          <w:szCs w:val="20"/>
          <w:color w:val="auto"/>
        </w:rPr>
      </w:pPr>
      <w:r>
        <w:rPr>
          <w:rFonts w:ascii="Arial" w:cs="Arial" w:eastAsia="Arial" w:hAnsi="Arial"/>
          <w:sz w:val="18"/>
          <w:szCs w:val="18"/>
          <w:color w:val="auto"/>
        </w:rPr>
        <w:t>Set forth below is information regarding the executive officers of the Bank, as of the date hereof.</w:t>
      </w:r>
    </w:p>
    <w:p>
      <w:pPr>
        <w:spacing w:after="0" w:line="153" w:lineRule="exact"/>
        <w:rPr>
          <w:sz w:val="20"/>
          <w:szCs w:val="20"/>
          <w:color w:val="auto"/>
        </w:rPr>
      </w:pPr>
    </w:p>
    <w:tbl>
      <w:tblPr>
        <w:tblLayout w:type="fixed"/>
        <w:tblInd w:w="80" w:type="dxa"/>
        <w:tblCellMar>
          <w:top w:w="0" w:type="dxa"/>
          <w:left w:w="0" w:type="dxa"/>
          <w:bottom w:w="0" w:type="dxa"/>
          <w:right w:w="0" w:type="dxa"/>
        </w:tblCellMar>
      </w:tblPr>
      <w:tr>
        <w:trPr>
          <w:trHeight w:val="316"/>
        </w:trPr>
        <w:tc>
          <w:tcPr>
            <w:tcW w:w="2480" w:type="dxa"/>
            <w:vAlign w:val="bottom"/>
            <w:shd w:val="clear" w:color="auto" w:fill="0065C1"/>
          </w:tcPr>
          <w:p>
            <w:pPr>
              <w:ind w:left="100"/>
              <w:spacing w:after="0"/>
              <w:rPr>
                <w:sz w:val="20"/>
                <w:szCs w:val="20"/>
                <w:color w:val="auto"/>
              </w:rPr>
            </w:pPr>
            <w:r>
              <w:rPr>
                <w:rFonts w:ascii="Arial" w:cs="Arial" w:eastAsia="Arial" w:hAnsi="Arial"/>
                <w:sz w:val="16"/>
                <w:szCs w:val="16"/>
                <w:b w:val="1"/>
                <w:bCs w:val="1"/>
                <w:color w:val="FFFFFF"/>
              </w:rPr>
              <w:t>Name</w:t>
            </w:r>
          </w:p>
        </w:tc>
        <w:tc>
          <w:tcPr>
            <w:tcW w:w="3540" w:type="dxa"/>
            <w:vAlign w:val="bottom"/>
            <w:shd w:val="clear" w:color="auto" w:fill="0065C1"/>
          </w:tcPr>
          <w:p>
            <w:pPr>
              <w:ind w:left="400"/>
              <w:spacing w:after="0"/>
              <w:rPr>
                <w:sz w:val="20"/>
                <w:szCs w:val="20"/>
                <w:color w:val="auto"/>
              </w:rPr>
            </w:pPr>
            <w:r>
              <w:rPr>
                <w:rFonts w:ascii="Arial" w:cs="Arial" w:eastAsia="Arial" w:hAnsi="Arial"/>
                <w:sz w:val="16"/>
                <w:szCs w:val="16"/>
                <w:b w:val="1"/>
                <w:bCs w:val="1"/>
                <w:color w:val="FFFFFF"/>
              </w:rPr>
              <w:t>Position Held with the Bank</w:t>
            </w:r>
          </w:p>
        </w:tc>
        <w:tc>
          <w:tcPr>
            <w:tcW w:w="2240" w:type="dxa"/>
            <w:vAlign w:val="bottom"/>
            <w:shd w:val="clear" w:color="auto" w:fill="0065C1"/>
          </w:tcPr>
          <w:p>
            <w:pPr>
              <w:jc w:val="center"/>
              <w:ind w:left="111"/>
              <w:spacing w:after="0"/>
              <w:rPr>
                <w:sz w:val="20"/>
                <w:szCs w:val="20"/>
                <w:color w:val="auto"/>
              </w:rPr>
            </w:pPr>
            <w:r>
              <w:rPr>
                <w:rFonts w:ascii="Arial" w:cs="Arial" w:eastAsia="Arial" w:hAnsi="Arial"/>
                <w:sz w:val="16"/>
                <w:szCs w:val="16"/>
                <w:b w:val="1"/>
                <w:bCs w:val="1"/>
                <w:color w:val="FFFFFF"/>
              </w:rPr>
              <w:t>Country of Citizenship</w:t>
            </w:r>
          </w:p>
        </w:tc>
        <w:tc>
          <w:tcPr>
            <w:tcW w:w="6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Age</w:t>
            </w:r>
          </w:p>
        </w:tc>
      </w:tr>
      <w:tr>
        <w:trPr>
          <w:trHeight w:val="75"/>
        </w:trPr>
        <w:tc>
          <w:tcPr>
            <w:tcW w:w="2480" w:type="dxa"/>
            <w:vAlign w:val="bottom"/>
            <w:shd w:val="clear" w:color="auto" w:fill="0065C1"/>
          </w:tcPr>
          <w:p>
            <w:pPr>
              <w:spacing w:after="0"/>
              <w:rPr>
                <w:sz w:val="6"/>
                <w:szCs w:val="6"/>
                <w:color w:val="auto"/>
              </w:rPr>
            </w:pPr>
          </w:p>
        </w:tc>
        <w:tc>
          <w:tcPr>
            <w:tcW w:w="3540" w:type="dxa"/>
            <w:vAlign w:val="bottom"/>
            <w:shd w:val="clear" w:color="auto" w:fill="0065C1"/>
          </w:tcPr>
          <w:p>
            <w:pPr>
              <w:spacing w:after="0"/>
              <w:rPr>
                <w:sz w:val="6"/>
                <w:szCs w:val="6"/>
                <w:color w:val="auto"/>
              </w:rPr>
            </w:pPr>
          </w:p>
        </w:tc>
        <w:tc>
          <w:tcPr>
            <w:tcW w:w="2240" w:type="dxa"/>
            <w:vAlign w:val="bottom"/>
            <w:shd w:val="clear" w:color="auto" w:fill="0065C1"/>
          </w:tcPr>
          <w:p>
            <w:pPr>
              <w:spacing w:after="0"/>
              <w:rPr>
                <w:sz w:val="6"/>
                <w:szCs w:val="6"/>
                <w:color w:val="auto"/>
              </w:rPr>
            </w:pPr>
          </w:p>
        </w:tc>
        <w:tc>
          <w:tcPr>
            <w:tcW w:w="600" w:type="dxa"/>
            <w:vAlign w:val="bottom"/>
            <w:shd w:val="clear" w:color="auto" w:fill="0065C1"/>
          </w:tcPr>
          <w:p>
            <w:pPr>
              <w:spacing w:after="0"/>
              <w:rPr>
                <w:sz w:val="6"/>
                <w:szCs w:val="6"/>
                <w:color w:val="auto"/>
              </w:rPr>
            </w:pPr>
          </w:p>
        </w:tc>
      </w:tr>
      <w:tr>
        <w:trPr>
          <w:trHeight w:val="301"/>
        </w:trPr>
        <w:tc>
          <w:tcPr>
            <w:tcW w:w="2480" w:type="dxa"/>
            <w:vAlign w:val="bottom"/>
            <w:shd w:val="clear" w:color="auto" w:fill="D7E7F5"/>
          </w:tcPr>
          <w:p>
            <w:pPr>
              <w:ind w:left="100"/>
              <w:spacing w:after="0"/>
              <w:rPr>
                <w:sz w:val="20"/>
                <w:szCs w:val="20"/>
                <w:color w:val="auto"/>
              </w:rPr>
            </w:pPr>
            <w:r>
              <w:rPr>
                <w:rFonts w:ascii="Arial" w:cs="Arial" w:eastAsia="Arial" w:hAnsi="Arial"/>
                <w:sz w:val="18"/>
                <w:szCs w:val="18"/>
                <w:color w:val="auto"/>
              </w:rPr>
              <w:t>Jorge Salas</w:t>
            </w:r>
          </w:p>
        </w:tc>
        <w:tc>
          <w:tcPr>
            <w:tcW w:w="3540" w:type="dxa"/>
            <w:vAlign w:val="bottom"/>
            <w:shd w:val="clear" w:color="auto" w:fill="D7E7F5"/>
          </w:tcPr>
          <w:p>
            <w:pPr>
              <w:ind w:left="400"/>
              <w:spacing w:after="0"/>
              <w:rPr>
                <w:sz w:val="20"/>
                <w:szCs w:val="20"/>
                <w:color w:val="auto"/>
              </w:rPr>
            </w:pPr>
            <w:r>
              <w:rPr>
                <w:rFonts w:ascii="Arial" w:cs="Arial" w:eastAsia="Arial" w:hAnsi="Arial"/>
                <w:sz w:val="18"/>
                <w:szCs w:val="18"/>
                <w:color w:val="auto"/>
              </w:rPr>
              <w:t>Chief Executive Officer</w:t>
            </w:r>
          </w:p>
        </w:tc>
        <w:tc>
          <w:tcPr>
            <w:tcW w:w="2240" w:type="dxa"/>
            <w:vAlign w:val="bottom"/>
            <w:shd w:val="clear" w:color="auto" w:fill="D7E7F5"/>
          </w:tcPr>
          <w:p>
            <w:pPr>
              <w:jc w:val="center"/>
              <w:ind w:left="131"/>
              <w:spacing w:after="0"/>
              <w:rPr>
                <w:sz w:val="20"/>
                <w:szCs w:val="20"/>
                <w:color w:val="auto"/>
              </w:rPr>
            </w:pPr>
            <w:r>
              <w:rPr>
                <w:rFonts w:ascii="Arial" w:cs="Arial" w:eastAsia="Arial" w:hAnsi="Arial"/>
                <w:sz w:val="18"/>
                <w:szCs w:val="18"/>
                <w:color w:val="auto"/>
                <w:w w:val="99"/>
              </w:rPr>
              <w:t>Spain</w:t>
            </w:r>
          </w:p>
        </w:tc>
        <w:tc>
          <w:tcPr>
            <w:tcW w:w="60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50</w:t>
            </w:r>
          </w:p>
        </w:tc>
      </w:tr>
      <w:tr>
        <w:trPr>
          <w:trHeight w:val="63"/>
        </w:trPr>
        <w:tc>
          <w:tcPr>
            <w:tcW w:w="2480" w:type="dxa"/>
            <w:vAlign w:val="bottom"/>
            <w:shd w:val="clear" w:color="auto" w:fill="D7E7F5"/>
          </w:tcPr>
          <w:p>
            <w:pPr>
              <w:spacing w:after="0"/>
              <w:rPr>
                <w:sz w:val="5"/>
                <w:szCs w:val="5"/>
                <w:color w:val="auto"/>
              </w:rPr>
            </w:pPr>
          </w:p>
        </w:tc>
        <w:tc>
          <w:tcPr>
            <w:tcW w:w="3540" w:type="dxa"/>
            <w:vAlign w:val="bottom"/>
            <w:shd w:val="clear" w:color="auto" w:fill="D7E7F5"/>
          </w:tcPr>
          <w:p>
            <w:pPr>
              <w:spacing w:after="0"/>
              <w:rPr>
                <w:sz w:val="5"/>
                <w:szCs w:val="5"/>
                <w:color w:val="auto"/>
              </w:rPr>
            </w:pPr>
          </w:p>
        </w:tc>
        <w:tc>
          <w:tcPr>
            <w:tcW w:w="2240" w:type="dxa"/>
            <w:vAlign w:val="bottom"/>
            <w:shd w:val="clear" w:color="auto" w:fill="D7E7F5"/>
          </w:tcPr>
          <w:p>
            <w:pPr>
              <w:spacing w:after="0"/>
              <w:rPr>
                <w:sz w:val="5"/>
                <w:szCs w:val="5"/>
                <w:color w:val="auto"/>
              </w:rPr>
            </w:pPr>
          </w:p>
        </w:tc>
        <w:tc>
          <w:tcPr>
            <w:tcW w:w="600" w:type="dxa"/>
            <w:vAlign w:val="bottom"/>
            <w:shd w:val="clear" w:color="auto" w:fill="D7E7F5"/>
          </w:tcPr>
          <w:p>
            <w:pPr>
              <w:spacing w:after="0"/>
              <w:rPr>
                <w:sz w:val="5"/>
                <w:szCs w:val="5"/>
                <w:color w:val="auto"/>
              </w:rPr>
            </w:pPr>
          </w:p>
        </w:tc>
      </w:tr>
      <w:tr>
        <w:trPr>
          <w:trHeight w:val="261"/>
        </w:trPr>
        <w:tc>
          <w:tcPr>
            <w:tcW w:w="2480" w:type="dxa"/>
            <w:vAlign w:val="bottom"/>
          </w:tcPr>
          <w:p>
            <w:pPr>
              <w:ind w:left="100"/>
              <w:spacing w:after="0"/>
              <w:rPr>
                <w:sz w:val="20"/>
                <w:szCs w:val="20"/>
                <w:color w:val="auto"/>
              </w:rPr>
            </w:pPr>
            <w:r>
              <w:rPr>
                <w:rFonts w:ascii="Arial" w:cs="Arial" w:eastAsia="Arial" w:hAnsi="Arial"/>
                <w:sz w:val="18"/>
                <w:szCs w:val="18"/>
                <w:color w:val="auto"/>
              </w:rPr>
              <w:t>Erica Lijtztain</w:t>
            </w:r>
          </w:p>
        </w:tc>
        <w:tc>
          <w:tcPr>
            <w:tcW w:w="3540" w:type="dxa"/>
            <w:vAlign w:val="bottom"/>
          </w:tcPr>
          <w:p>
            <w:pPr>
              <w:ind w:left="400"/>
              <w:spacing w:after="0"/>
              <w:rPr>
                <w:sz w:val="20"/>
                <w:szCs w:val="20"/>
                <w:color w:val="auto"/>
              </w:rPr>
            </w:pPr>
            <w:r>
              <w:rPr>
                <w:rFonts w:ascii="Arial" w:cs="Arial" w:eastAsia="Arial" w:hAnsi="Arial"/>
                <w:sz w:val="18"/>
                <w:szCs w:val="18"/>
                <w:color w:val="auto"/>
              </w:rPr>
              <w:t>Executive Vice President</w:t>
            </w:r>
          </w:p>
        </w:tc>
        <w:tc>
          <w:tcPr>
            <w:tcW w:w="2240" w:type="dxa"/>
            <w:vAlign w:val="bottom"/>
          </w:tcPr>
          <w:p>
            <w:pPr>
              <w:spacing w:after="0"/>
              <w:rPr>
                <w:sz w:val="22"/>
                <w:szCs w:val="22"/>
                <w:color w:val="auto"/>
              </w:rPr>
            </w:pPr>
          </w:p>
        </w:tc>
        <w:tc>
          <w:tcPr>
            <w:tcW w:w="600" w:type="dxa"/>
            <w:vAlign w:val="bottom"/>
          </w:tcPr>
          <w:p>
            <w:pPr>
              <w:spacing w:after="0"/>
              <w:rPr>
                <w:sz w:val="22"/>
                <w:szCs w:val="22"/>
                <w:color w:val="auto"/>
              </w:rPr>
            </w:pPr>
          </w:p>
        </w:tc>
      </w:tr>
      <w:tr>
        <w:trPr>
          <w:trHeight w:val="243"/>
        </w:trPr>
        <w:tc>
          <w:tcPr>
            <w:tcW w:w="2480" w:type="dxa"/>
            <w:vAlign w:val="bottom"/>
          </w:tcPr>
          <w:p>
            <w:pPr>
              <w:spacing w:after="0"/>
              <w:rPr>
                <w:sz w:val="21"/>
                <w:szCs w:val="21"/>
                <w:color w:val="auto"/>
              </w:rPr>
            </w:pPr>
          </w:p>
        </w:tc>
        <w:tc>
          <w:tcPr>
            <w:tcW w:w="3540" w:type="dxa"/>
            <w:vAlign w:val="bottom"/>
          </w:tcPr>
          <w:p>
            <w:pPr>
              <w:ind w:left="400"/>
              <w:spacing w:after="0"/>
              <w:rPr>
                <w:sz w:val="20"/>
                <w:szCs w:val="20"/>
                <w:color w:val="auto"/>
              </w:rPr>
            </w:pPr>
            <w:r>
              <w:rPr>
                <w:rFonts w:ascii="Arial" w:cs="Arial" w:eastAsia="Arial" w:hAnsi="Arial"/>
                <w:sz w:val="18"/>
                <w:szCs w:val="18"/>
                <w:color w:val="auto"/>
              </w:rPr>
              <w:t>Chief Operating Officer</w:t>
            </w:r>
          </w:p>
        </w:tc>
        <w:tc>
          <w:tcPr>
            <w:tcW w:w="2240" w:type="dxa"/>
            <w:vAlign w:val="bottom"/>
          </w:tcPr>
          <w:p>
            <w:pPr>
              <w:jc w:val="center"/>
              <w:ind w:left="131"/>
              <w:spacing w:after="0"/>
              <w:rPr>
                <w:sz w:val="20"/>
                <w:szCs w:val="20"/>
                <w:color w:val="auto"/>
              </w:rPr>
            </w:pPr>
            <w:r>
              <w:rPr>
                <w:rFonts w:ascii="Arial" w:cs="Arial" w:eastAsia="Arial" w:hAnsi="Arial"/>
                <w:sz w:val="18"/>
                <w:szCs w:val="18"/>
                <w:color w:val="auto"/>
              </w:rPr>
              <w:t>Argentina</w:t>
            </w:r>
          </w:p>
        </w:tc>
        <w:tc>
          <w:tcPr>
            <w:tcW w:w="600" w:type="dxa"/>
            <w:vAlign w:val="bottom"/>
          </w:tcPr>
          <w:p>
            <w:pPr>
              <w:jc w:val="center"/>
              <w:spacing w:after="0"/>
              <w:rPr>
                <w:sz w:val="20"/>
                <w:szCs w:val="20"/>
                <w:color w:val="auto"/>
              </w:rPr>
            </w:pPr>
            <w:r>
              <w:rPr>
                <w:rFonts w:ascii="Arial" w:cs="Arial" w:eastAsia="Arial" w:hAnsi="Arial"/>
                <w:sz w:val="18"/>
                <w:szCs w:val="18"/>
                <w:color w:val="auto"/>
                <w:w w:val="99"/>
              </w:rPr>
              <w:t>49</w:t>
            </w:r>
          </w:p>
        </w:tc>
      </w:tr>
      <w:tr>
        <w:trPr>
          <w:trHeight w:val="63"/>
        </w:trPr>
        <w:tc>
          <w:tcPr>
            <w:tcW w:w="2480" w:type="dxa"/>
            <w:vAlign w:val="bottom"/>
          </w:tcPr>
          <w:p>
            <w:pPr>
              <w:spacing w:after="0"/>
              <w:rPr>
                <w:sz w:val="5"/>
                <w:szCs w:val="5"/>
                <w:color w:val="auto"/>
              </w:rPr>
            </w:pPr>
          </w:p>
        </w:tc>
        <w:tc>
          <w:tcPr>
            <w:tcW w:w="3540" w:type="dxa"/>
            <w:vAlign w:val="bottom"/>
          </w:tcPr>
          <w:p>
            <w:pPr>
              <w:spacing w:after="0"/>
              <w:rPr>
                <w:sz w:val="5"/>
                <w:szCs w:val="5"/>
                <w:color w:val="auto"/>
              </w:rPr>
            </w:pPr>
          </w:p>
        </w:tc>
        <w:tc>
          <w:tcPr>
            <w:tcW w:w="2240" w:type="dxa"/>
            <w:vAlign w:val="bottom"/>
          </w:tcPr>
          <w:p>
            <w:pPr>
              <w:spacing w:after="0"/>
              <w:rPr>
                <w:sz w:val="5"/>
                <w:szCs w:val="5"/>
                <w:color w:val="auto"/>
              </w:rPr>
            </w:pPr>
          </w:p>
        </w:tc>
        <w:tc>
          <w:tcPr>
            <w:tcW w:w="600" w:type="dxa"/>
            <w:vAlign w:val="bottom"/>
          </w:tcPr>
          <w:p>
            <w:pPr>
              <w:spacing w:after="0"/>
              <w:rPr>
                <w:sz w:val="5"/>
                <w:szCs w:val="5"/>
                <w:color w:val="auto"/>
              </w:rPr>
            </w:pPr>
          </w:p>
        </w:tc>
      </w:tr>
      <w:tr>
        <w:trPr>
          <w:trHeight w:val="261"/>
        </w:trPr>
        <w:tc>
          <w:tcPr>
            <w:tcW w:w="2480" w:type="dxa"/>
            <w:vAlign w:val="bottom"/>
            <w:shd w:val="clear" w:color="auto" w:fill="D7E7F5"/>
          </w:tcPr>
          <w:p>
            <w:pPr>
              <w:ind w:left="100"/>
              <w:spacing w:after="0"/>
              <w:rPr>
                <w:sz w:val="20"/>
                <w:szCs w:val="20"/>
                <w:color w:val="auto"/>
              </w:rPr>
            </w:pPr>
            <w:r>
              <w:rPr>
                <w:rFonts w:ascii="Arial" w:cs="Arial" w:eastAsia="Arial" w:hAnsi="Arial"/>
                <w:sz w:val="18"/>
                <w:szCs w:val="18"/>
                <w:color w:val="auto"/>
              </w:rPr>
              <w:t>Alejandro Jaramillo</w:t>
            </w:r>
          </w:p>
        </w:tc>
        <w:tc>
          <w:tcPr>
            <w:tcW w:w="3540" w:type="dxa"/>
            <w:vAlign w:val="bottom"/>
            <w:shd w:val="clear" w:color="auto" w:fill="D7E7F5"/>
          </w:tcPr>
          <w:p>
            <w:pPr>
              <w:ind w:left="400"/>
              <w:spacing w:after="0"/>
              <w:rPr>
                <w:sz w:val="20"/>
                <w:szCs w:val="20"/>
                <w:color w:val="auto"/>
              </w:rPr>
            </w:pPr>
            <w:r>
              <w:rPr>
                <w:rFonts w:ascii="Arial" w:cs="Arial" w:eastAsia="Arial" w:hAnsi="Arial"/>
                <w:sz w:val="18"/>
                <w:szCs w:val="18"/>
                <w:color w:val="auto"/>
              </w:rPr>
              <w:t>Executive Vice President</w:t>
            </w:r>
          </w:p>
        </w:tc>
        <w:tc>
          <w:tcPr>
            <w:tcW w:w="2240" w:type="dxa"/>
            <w:vAlign w:val="bottom"/>
            <w:shd w:val="clear" w:color="auto" w:fill="D7E7F5"/>
          </w:tcPr>
          <w:p>
            <w:pPr>
              <w:spacing w:after="0"/>
              <w:rPr>
                <w:sz w:val="22"/>
                <w:szCs w:val="22"/>
                <w:color w:val="auto"/>
              </w:rPr>
            </w:pPr>
          </w:p>
        </w:tc>
        <w:tc>
          <w:tcPr>
            <w:tcW w:w="600" w:type="dxa"/>
            <w:vAlign w:val="bottom"/>
            <w:shd w:val="clear" w:color="auto" w:fill="D7E7F5"/>
          </w:tcPr>
          <w:p>
            <w:pPr>
              <w:spacing w:after="0"/>
              <w:rPr>
                <w:sz w:val="22"/>
                <w:szCs w:val="22"/>
                <w:color w:val="auto"/>
              </w:rPr>
            </w:pPr>
          </w:p>
        </w:tc>
      </w:tr>
      <w:tr>
        <w:trPr>
          <w:trHeight w:val="243"/>
        </w:trPr>
        <w:tc>
          <w:tcPr>
            <w:tcW w:w="2480" w:type="dxa"/>
            <w:vAlign w:val="bottom"/>
            <w:shd w:val="clear" w:color="auto" w:fill="D7E7F5"/>
          </w:tcPr>
          <w:p>
            <w:pPr>
              <w:spacing w:after="0"/>
              <w:rPr>
                <w:sz w:val="21"/>
                <w:szCs w:val="21"/>
                <w:color w:val="auto"/>
              </w:rPr>
            </w:pPr>
          </w:p>
        </w:tc>
        <w:tc>
          <w:tcPr>
            <w:tcW w:w="3540" w:type="dxa"/>
            <w:vAlign w:val="bottom"/>
            <w:shd w:val="clear" w:color="auto" w:fill="D7E7F5"/>
          </w:tcPr>
          <w:p>
            <w:pPr>
              <w:ind w:left="400"/>
              <w:spacing w:after="0"/>
              <w:rPr>
                <w:sz w:val="20"/>
                <w:szCs w:val="20"/>
                <w:color w:val="auto"/>
              </w:rPr>
            </w:pPr>
            <w:r>
              <w:rPr>
                <w:rFonts w:ascii="Arial" w:cs="Arial" w:eastAsia="Arial" w:hAnsi="Arial"/>
                <w:sz w:val="18"/>
                <w:szCs w:val="18"/>
                <w:color w:val="auto"/>
              </w:rPr>
              <w:t>Chief Commercial Officer</w:t>
            </w:r>
          </w:p>
        </w:tc>
        <w:tc>
          <w:tcPr>
            <w:tcW w:w="2240" w:type="dxa"/>
            <w:vAlign w:val="bottom"/>
            <w:shd w:val="clear" w:color="auto" w:fill="D7E7F5"/>
          </w:tcPr>
          <w:p>
            <w:pPr>
              <w:jc w:val="center"/>
              <w:ind w:left="111"/>
              <w:spacing w:after="0"/>
              <w:rPr>
                <w:sz w:val="20"/>
                <w:szCs w:val="20"/>
                <w:color w:val="auto"/>
              </w:rPr>
            </w:pPr>
            <w:r>
              <w:rPr>
                <w:rFonts w:ascii="Arial" w:cs="Arial" w:eastAsia="Arial" w:hAnsi="Arial"/>
                <w:sz w:val="18"/>
                <w:szCs w:val="18"/>
                <w:color w:val="auto"/>
                <w:w w:val="99"/>
              </w:rPr>
              <w:t>Colombia</w:t>
            </w:r>
          </w:p>
        </w:tc>
        <w:tc>
          <w:tcPr>
            <w:tcW w:w="60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45</w:t>
            </w:r>
          </w:p>
        </w:tc>
      </w:tr>
      <w:tr>
        <w:trPr>
          <w:trHeight w:val="63"/>
        </w:trPr>
        <w:tc>
          <w:tcPr>
            <w:tcW w:w="2480" w:type="dxa"/>
            <w:vAlign w:val="bottom"/>
            <w:shd w:val="clear" w:color="auto" w:fill="D7E7F5"/>
          </w:tcPr>
          <w:p>
            <w:pPr>
              <w:spacing w:after="0"/>
              <w:rPr>
                <w:sz w:val="5"/>
                <w:szCs w:val="5"/>
                <w:color w:val="auto"/>
              </w:rPr>
            </w:pPr>
          </w:p>
        </w:tc>
        <w:tc>
          <w:tcPr>
            <w:tcW w:w="3540" w:type="dxa"/>
            <w:vAlign w:val="bottom"/>
            <w:shd w:val="clear" w:color="auto" w:fill="D7E7F5"/>
          </w:tcPr>
          <w:p>
            <w:pPr>
              <w:spacing w:after="0"/>
              <w:rPr>
                <w:sz w:val="5"/>
                <w:szCs w:val="5"/>
                <w:color w:val="auto"/>
              </w:rPr>
            </w:pPr>
          </w:p>
        </w:tc>
        <w:tc>
          <w:tcPr>
            <w:tcW w:w="2240" w:type="dxa"/>
            <w:vAlign w:val="bottom"/>
            <w:shd w:val="clear" w:color="auto" w:fill="D7E7F5"/>
          </w:tcPr>
          <w:p>
            <w:pPr>
              <w:spacing w:after="0"/>
              <w:rPr>
                <w:sz w:val="5"/>
                <w:szCs w:val="5"/>
                <w:color w:val="auto"/>
              </w:rPr>
            </w:pPr>
          </w:p>
        </w:tc>
        <w:tc>
          <w:tcPr>
            <w:tcW w:w="600" w:type="dxa"/>
            <w:vAlign w:val="bottom"/>
            <w:shd w:val="clear" w:color="auto" w:fill="D7E7F5"/>
          </w:tcPr>
          <w:p>
            <w:pPr>
              <w:spacing w:after="0"/>
              <w:rPr>
                <w:sz w:val="5"/>
                <w:szCs w:val="5"/>
                <w:color w:val="auto"/>
              </w:rPr>
            </w:pPr>
          </w:p>
        </w:tc>
      </w:tr>
      <w:tr>
        <w:trPr>
          <w:trHeight w:val="261"/>
        </w:trPr>
        <w:tc>
          <w:tcPr>
            <w:tcW w:w="2480" w:type="dxa"/>
            <w:vAlign w:val="bottom"/>
          </w:tcPr>
          <w:p>
            <w:pPr>
              <w:ind w:left="100"/>
              <w:spacing w:after="0"/>
              <w:rPr>
                <w:sz w:val="20"/>
                <w:szCs w:val="20"/>
                <w:color w:val="auto"/>
              </w:rPr>
            </w:pPr>
            <w:r>
              <w:rPr>
                <w:rFonts w:ascii="Arial" w:cs="Arial" w:eastAsia="Arial" w:hAnsi="Arial"/>
                <w:sz w:val="18"/>
                <w:szCs w:val="18"/>
                <w:color w:val="auto"/>
              </w:rPr>
              <w:t>Ana Graciela de Méndez</w:t>
            </w:r>
          </w:p>
        </w:tc>
        <w:tc>
          <w:tcPr>
            <w:tcW w:w="3540" w:type="dxa"/>
            <w:vAlign w:val="bottom"/>
          </w:tcPr>
          <w:p>
            <w:pPr>
              <w:ind w:left="400"/>
              <w:spacing w:after="0"/>
              <w:rPr>
                <w:sz w:val="20"/>
                <w:szCs w:val="20"/>
                <w:color w:val="auto"/>
              </w:rPr>
            </w:pPr>
            <w:r>
              <w:rPr>
                <w:rFonts w:ascii="Arial" w:cs="Arial" w:eastAsia="Arial" w:hAnsi="Arial"/>
                <w:sz w:val="18"/>
                <w:szCs w:val="18"/>
                <w:color w:val="auto"/>
              </w:rPr>
              <w:t>Executive Vice President</w:t>
            </w:r>
          </w:p>
        </w:tc>
        <w:tc>
          <w:tcPr>
            <w:tcW w:w="2240" w:type="dxa"/>
            <w:vAlign w:val="bottom"/>
          </w:tcPr>
          <w:p>
            <w:pPr>
              <w:spacing w:after="0"/>
              <w:rPr>
                <w:sz w:val="22"/>
                <w:szCs w:val="22"/>
                <w:color w:val="auto"/>
              </w:rPr>
            </w:pPr>
          </w:p>
        </w:tc>
        <w:tc>
          <w:tcPr>
            <w:tcW w:w="600" w:type="dxa"/>
            <w:vAlign w:val="bottom"/>
          </w:tcPr>
          <w:p>
            <w:pPr>
              <w:spacing w:after="0"/>
              <w:rPr>
                <w:sz w:val="22"/>
                <w:szCs w:val="22"/>
                <w:color w:val="auto"/>
              </w:rPr>
            </w:pPr>
          </w:p>
        </w:tc>
      </w:tr>
      <w:tr>
        <w:trPr>
          <w:trHeight w:val="243"/>
        </w:trPr>
        <w:tc>
          <w:tcPr>
            <w:tcW w:w="2480" w:type="dxa"/>
            <w:vAlign w:val="bottom"/>
          </w:tcPr>
          <w:p>
            <w:pPr>
              <w:spacing w:after="0"/>
              <w:rPr>
                <w:sz w:val="21"/>
                <w:szCs w:val="21"/>
                <w:color w:val="auto"/>
              </w:rPr>
            </w:pPr>
          </w:p>
        </w:tc>
        <w:tc>
          <w:tcPr>
            <w:tcW w:w="3540" w:type="dxa"/>
            <w:vAlign w:val="bottom"/>
          </w:tcPr>
          <w:p>
            <w:pPr>
              <w:ind w:left="400"/>
              <w:spacing w:after="0"/>
              <w:rPr>
                <w:sz w:val="20"/>
                <w:szCs w:val="20"/>
                <w:color w:val="auto"/>
              </w:rPr>
            </w:pPr>
            <w:r>
              <w:rPr>
                <w:rFonts w:ascii="Arial" w:cs="Arial" w:eastAsia="Arial" w:hAnsi="Arial"/>
                <w:sz w:val="18"/>
                <w:szCs w:val="18"/>
                <w:color w:val="auto"/>
              </w:rPr>
              <w:t>Chief Financial Officer</w:t>
            </w:r>
          </w:p>
        </w:tc>
        <w:tc>
          <w:tcPr>
            <w:tcW w:w="2240" w:type="dxa"/>
            <w:vAlign w:val="bottom"/>
          </w:tcPr>
          <w:p>
            <w:pPr>
              <w:jc w:val="center"/>
              <w:ind w:left="131"/>
              <w:spacing w:after="0"/>
              <w:rPr>
                <w:sz w:val="20"/>
                <w:szCs w:val="20"/>
                <w:color w:val="auto"/>
              </w:rPr>
            </w:pPr>
            <w:r>
              <w:rPr>
                <w:rFonts w:ascii="Arial" w:cs="Arial" w:eastAsia="Arial" w:hAnsi="Arial"/>
                <w:sz w:val="18"/>
                <w:szCs w:val="18"/>
                <w:color w:val="auto"/>
                <w:w w:val="98"/>
              </w:rPr>
              <w:t>Panama</w:t>
            </w:r>
          </w:p>
        </w:tc>
        <w:tc>
          <w:tcPr>
            <w:tcW w:w="600" w:type="dxa"/>
            <w:vAlign w:val="bottom"/>
          </w:tcPr>
          <w:p>
            <w:pPr>
              <w:jc w:val="center"/>
              <w:spacing w:after="0"/>
              <w:rPr>
                <w:sz w:val="20"/>
                <w:szCs w:val="20"/>
                <w:color w:val="auto"/>
              </w:rPr>
            </w:pPr>
            <w:r>
              <w:rPr>
                <w:rFonts w:ascii="Arial" w:cs="Arial" w:eastAsia="Arial" w:hAnsi="Arial"/>
                <w:sz w:val="18"/>
                <w:szCs w:val="18"/>
                <w:color w:val="auto"/>
                <w:w w:val="99"/>
              </w:rPr>
              <w:t>54</w:t>
            </w:r>
          </w:p>
        </w:tc>
      </w:tr>
      <w:tr>
        <w:trPr>
          <w:trHeight w:val="63"/>
        </w:trPr>
        <w:tc>
          <w:tcPr>
            <w:tcW w:w="2480" w:type="dxa"/>
            <w:vAlign w:val="bottom"/>
          </w:tcPr>
          <w:p>
            <w:pPr>
              <w:spacing w:after="0"/>
              <w:rPr>
                <w:sz w:val="5"/>
                <w:szCs w:val="5"/>
                <w:color w:val="auto"/>
              </w:rPr>
            </w:pPr>
          </w:p>
        </w:tc>
        <w:tc>
          <w:tcPr>
            <w:tcW w:w="3540" w:type="dxa"/>
            <w:vAlign w:val="bottom"/>
          </w:tcPr>
          <w:p>
            <w:pPr>
              <w:spacing w:after="0"/>
              <w:rPr>
                <w:sz w:val="5"/>
                <w:szCs w:val="5"/>
                <w:color w:val="auto"/>
              </w:rPr>
            </w:pPr>
          </w:p>
        </w:tc>
        <w:tc>
          <w:tcPr>
            <w:tcW w:w="2240" w:type="dxa"/>
            <w:vAlign w:val="bottom"/>
          </w:tcPr>
          <w:p>
            <w:pPr>
              <w:spacing w:after="0"/>
              <w:rPr>
                <w:sz w:val="5"/>
                <w:szCs w:val="5"/>
                <w:color w:val="auto"/>
              </w:rPr>
            </w:pPr>
          </w:p>
        </w:tc>
        <w:tc>
          <w:tcPr>
            <w:tcW w:w="600" w:type="dxa"/>
            <w:vAlign w:val="bottom"/>
          </w:tcPr>
          <w:p>
            <w:pPr>
              <w:spacing w:after="0"/>
              <w:rPr>
                <w:sz w:val="5"/>
                <w:szCs w:val="5"/>
                <w:color w:val="auto"/>
              </w:rPr>
            </w:pPr>
          </w:p>
        </w:tc>
      </w:tr>
      <w:tr>
        <w:trPr>
          <w:trHeight w:val="261"/>
        </w:trPr>
        <w:tc>
          <w:tcPr>
            <w:tcW w:w="2480" w:type="dxa"/>
            <w:vAlign w:val="bottom"/>
            <w:shd w:val="clear" w:color="auto" w:fill="D7E7F5"/>
          </w:tcPr>
          <w:p>
            <w:pPr>
              <w:ind w:left="100"/>
              <w:spacing w:after="0"/>
              <w:rPr>
                <w:sz w:val="20"/>
                <w:szCs w:val="20"/>
                <w:color w:val="auto"/>
              </w:rPr>
            </w:pPr>
            <w:r>
              <w:rPr>
                <w:rFonts w:ascii="Arial" w:cs="Arial" w:eastAsia="Arial" w:hAnsi="Arial"/>
                <w:sz w:val="18"/>
                <w:szCs w:val="18"/>
                <w:color w:val="auto"/>
              </w:rPr>
              <w:t>Eduardo Vivone</w:t>
            </w:r>
          </w:p>
        </w:tc>
        <w:tc>
          <w:tcPr>
            <w:tcW w:w="3540" w:type="dxa"/>
            <w:vAlign w:val="bottom"/>
            <w:shd w:val="clear" w:color="auto" w:fill="D7E7F5"/>
          </w:tcPr>
          <w:p>
            <w:pPr>
              <w:ind w:left="400"/>
              <w:spacing w:after="0"/>
              <w:rPr>
                <w:sz w:val="20"/>
                <w:szCs w:val="20"/>
                <w:color w:val="auto"/>
              </w:rPr>
            </w:pPr>
            <w:r>
              <w:rPr>
                <w:rFonts w:ascii="Arial" w:cs="Arial" w:eastAsia="Arial" w:hAnsi="Arial"/>
                <w:sz w:val="18"/>
                <w:szCs w:val="18"/>
                <w:color w:val="auto"/>
              </w:rPr>
              <w:t>Executive Vice President</w:t>
            </w:r>
          </w:p>
        </w:tc>
        <w:tc>
          <w:tcPr>
            <w:tcW w:w="2240" w:type="dxa"/>
            <w:vAlign w:val="bottom"/>
            <w:shd w:val="clear" w:color="auto" w:fill="D7E7F5"/>
          </w:tcPr>
          <w:p>
            <w:pPr>
              <w:spacing w:after="0"/>
              <w:rPr>
                <w:sz w:val="22"/>
                <w:szCs w:val="22"/>
                <w:color w:val="auto"/>
              </w:rPr>
            </w:pPr>
          </w:p>
        </w:tc>
        <w:tc>
          <w:tcPr>
            <w:tcW w:w="600" w:type="dxa"/>
            <w:vAlign w:val="bottom"/>
            <w:shd w:val="clear" w:color="auto" w:fill="D7E7F5"/>
          </w:tcPr>
          <w:p>
            <w:pPr>
              <w:spacing w:after="0"/>
              <w:rPr>
                <w:sz w:val="22"/>
                <w:szCs w:val="22"/>
                <w:color w:val="auto"/>
              </w:rPr>
            </w:pPr>
          </w:p>
        </w:tc>
      </w:tr>
      <w:tr>
        <w:trPr>
          <w:trHeight w:val="243"/>
        </w:trPr>
        <w:tc>
          <w:tcPr>
            <w:tcW w:w="2480" w:type="dxa"/>
            <w:vAlign w:val="bottom"/>
            <w:shd w:val="clear" w:color="auto" w:fill="D7E7F5"/>
          </w:tcPr>
          <w:p>
            <w:pPr>
              <w:spacing w:after="0"/>
              <w:rPr>
                <w:sz w:val="21"/>
                <w:szCs w:val="21"/>
                <w:color w:val="auto"/>
              </w:rPr>
            </w:pPr>
          </w:p>
        </w:tc>
        <w:tc>
          <w:tcPr>
            <w:tcW w:w="3540" w:type="dxa"/>
            <w:vAlign w:val="bottom"/>
            <w:shd w:val="clear" w:color="auto" w:fill="D7E7F5"/>
          </w:tcPr>
          <w:p>
            <w:pPr>
              <w:ind w:left="400"/>
              <w:spacing w:after="0"/>
              <w:rPr>
                <w:sz w:val="20"/>
                <w:szCs w:val="20"/>
                <w:color w:val="auto"/>
              </w:rPr>
            </w:pPr>
            <w:r>
              <w:rPr>
                <w:rFonts w:ascii="Arial" w:cs="Arial" w:eastAsia="Arial" w:hAnsi="Arial"/>
                <w:sz w:val="18"/>
                <w:szCs w:val="18"/>
                <w:color w:val="auto"/>
              </w:rPr>
              <w:t>Treasury and Capital Markets</w:t>
            </w:r>
          </w:p>
        </w:tc>
        <w:tc>
          <w:tcPr>
            <w:tcW w:w="2240" w:type="dxa"/>
            <w:vAlign w:val="bottom"/>
            <w:shd w:val="clear" w:color="auto" w:fill="D7E7F5"/>
          </w:tcPr>
          <w:p>
            <w:pPr>
              <w:jc w:val="center"/>
              <w:ind w:left="131"/>
              <w:spacing w:after="0"/>
              <w:rPr>
                <w:sz w:val="20"/>
                <w:szCs w:val="20"/>
                <w:color w:val="auto"/>
              </w:rPr>
            </w:pPr>
            <w:r>
              <w:rPr>
                <w:rFonts w:ascii="Arial" w:cs="Arial" w:eastAsia="Arial" w:hAnsi="Arial"/>
                <w:sz w:val="18"/>
                <w:szCs w:val="18"/>
                <w:color w:val="auto"/>
              </w:rPr>
              <w:t>Argentina</w:t>
            </w:r>
          </w:p>
        </w:tc>
        <w:tc>
          <w:tcPr>
            <w:tcW w:w="60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56</w:t>
            </w:r>
          </w:p>
        </w:tc>
      </w:tr>
      <w:tr>
        <w:trPr>
          <w:trHeight w:val="63"/>
        </w:trPr>
        <w:tc>
          <w:tcPr>
            <w:tcW w:w="2480" w:type="dxa"/>
            <w:vAlign w:val="bottom"/>
            <w:shd w:val="clear" w:color="auto" w:fill="D7E7F5"/>
          </w:tcPr>
          <w:p>
            <w:pPr>
              <w:spacing w:after="0"/>
              <w:rPr>
                <w:sz w:val="5"/>
                <w:szCs w:val="5"/>
                <w:color w:val="auto"/>
              </w:rPr>
            </w:pPr>
          </w:p>
        </w:tc>
        <w:tc>
          <w:tcPr>
            <w:tcW w:w="3540" w:type="dxa"/>
            <w:vAlign w:val="bottom"/>
            <w:shd w:val="clear" w:color="auto" w:fill="D7E7F5"/>
          </w:tcPr>
          <w:p>
            <w:pPr>
              <w:spacing w:after="0"/>
              <w:rPr>
                <w:sz w:val="5"/>
                <w:szCs w:val="5"/>
                <w:color w:val="auto"/>
              </w:rPr>
            </w:pPr>
          </w:p>
        </w:tc>
        <w:tc>
          <w:tcPr>
            <w:tcW w:w="2240" w:type="dxa"/>
            <w:vAlign w:val="bottom"/>
            <w:shd w:val="clear" w:color="auto" w:fill="D7E7F5"/>
          </w:tcPr>
          <w:p>
            <w:pPr>
              <w:spacing w:after="0"/>
              <w:rPr>
                <w:sz w:val="5"/>
                <w:szCs w:val="5"/>
                <w:color w:val="auto"/>
              </w:rPr>
            </w:pPr>
          </w:p>
        </w:tc>
        <w:tc>
          <w:tcPr>
            <w:tcW w:w="600" w:type="dxa"/>
            <w:vAlign w:val="bottom"/>
            <w:shd w:val="clear" w:color="auto" w:fill="D7E7F5"/>
          </w:tcPr>
          <w:p>
            <w:pPr>
              <w:spacing w:after="0"/>
              <w:rPr>
                <w:sz w:val="5"/>
                <w:szCs w:val="5"/>
                <w:color w:val="auto"/>
              </w:rPr>
            </w:pPr>
          </w:p>
        </w:tc>
      </w:tr>
      <w:tr>
        <w:trPr>
          <w:trHeight w:val="261"/>
        </w:trPr>
        <w:tc>
          <w:tcPr>
            <w:tcW w:w="2480" w:type="dxa"/>
            <w:vAlign w:val="bottom"/>
          </w:tcPr>
          <w:p>
            <w:pPr>
              <w:ind w:left="100"/>
              <w:spacing w:after="0"/>
              <w:rPr>
                <w:sz w:val="20"/>
                <w:szCs w:val="20"/>
                <w:color w:val="auto"/>
              </w:rPr>
            </w:pPr>
            <w:r>
              <w:rPr>
                <w:rFonts w:ascii="Arial" w:cs="Arial" w:eastAsia="Arial" w:hAnsi="Arial"/>
                <w:sz w:val="18"/>
                <w:szCs w:val="18"/>
                <w:color w:val="auto"/>
              </w:rPr>
              <w:t>Alejandro Tizzoni</w:t>
            </w:r>
          </w:p>
        </w:tc>
        <w:tc>
          <w:tcPr>
            <w:tcW w:w="3540" w:type="dxa"/>
            <w:vAlign w:val="bottom"/>
          </w:tcPr>
          <w:p>
            <w:pPr>
              <w:ind w:left="400"/>
              <w:spacing w:after="0"/>
              <w:rPr>
                <w:sz w:val="20"/>
                <w:szCs w:val="20"/>
                <w:color w:val="auto"/>
              </w:rPr>
            </w:pPr>
            <w:r>
              <w:rPr>
                <w:rFonts w:ascii="Arial" w:cs="Arial" w:eastAsia="Arial" w:hAnsi="Arial"/>
                <w:sz w:val="18"/>
                <w:szCs w:val="18"/>
                <w:color w:val="auto"/>
              </w:rPr>
              <w:t>Executive Vice President</w:t>
            </w:r>
          </w:p>
        </w:tc>
        <w:tc>
          <w:tcPr>
            <w:tcW w:w="2240" w:type="dxa"/>
            <w:vAlign w:val="bottom"/>
          </w:tcPr>
          <w:p>
            <w:pPr>
              <w:spacing w:after="0"/>
              <w:rPr>
                <w:sz w:val="22"/>
                <w:szCs w:val="22"/>
                <w:color w:val="auto"/>
              </w:rPr>
            </w:pPr>
          </w:p>
        </w:tc>
        <w:tc>
          <w:tcPr>
            <w:tcW w:w="600" w:type="dxa"/>
            <w:vAlign w:val="bottom"/>
          </w:tcPr>
          <w:p>
            <w:pPr>
              <w:spacing w:after="0"/>
              <w:rPr>
                <w:sz w:val="22"/>
                <w:szCs w:val="22"/>
                <w:color w:val="auto"/>
              </w:rPr>
            </w:pPr>
          </w:p>
        </w:tc>
      </w:tr>
      <w:tr>
        <w:trPr>
          <w:trHeight w:val="243"/>
        </w:trPr>
        <w:tc>
          <w:tcPr>
            <w:tcW w:w="2480" w:type="dxa"/>
            <w:vAlign w:val="bottom"/>
          </w:tcPr>
          <w:p>
            <w:pPr>
              <w:spacing w:after="0"/>
              <w:rPr>
                <w:sz w:val="21"/>
                <w:szCs w:val="21"/>
                <w:color w:val="auto"/>
              </w:rPr>
            </w:pPr>
          </w:p>
        </w:tc>
        <w:tc>
          <w:tcPr>
            <w:tcW w:w="3540" w:type="dxa"/>
            <w:vAlign w:val="bottom"/>
          </w:tcPr>
          <w:p>
            <w:pPr>
              <w:ind w:left="400"/>
              <w:spacing w:after="0"/>
              <w:rPr>
                <w:sz w:val="20"/>
                <w:szCs w:val="20"/>
                <w:color w:val="auto"/>
              </w:rPr>
            </w:pPr>
            <w:r>
              <w:rPr>
                <w:rFonts w:ascii="Arial" w:cs="Arial" w:eastAsia="Arial" w:hAnsi="Arial"/>
                <w:sz w:val="18"/>
                <w:szCs w:val="18"/>
                <w:color w:val="auto"/>
              </w:rPr>
              <w:t>Chief Risk Officer</w:t>
            </w:r>
          </w:p>
        </w:tc>
        <w:tc>
          <w:tcPr>
            <w:tcW w:w="2240" w:type="dxa"/>
            <w:vAlign w:val="bottom"/>
          </w:tcPr>
          <w:p>
            <w:pPr>
              <w:jc w:val="center"/>
              <w:ind w:left="131"/>
              <w:spacing w:after="0"/>
              <w:rPr>
                <w:sz w:val="20"/>
                <w:szCs w:val="20"/>
                <w:color w:val="auto"/>
              </w:rPr>
            </w:pPr>
            <w:r>
              <w:rPr>
                <w:rFonts w:ascii="Arial" w:cs="Arial" w:eastAsia="Arial" w:hAnsi="Arial"/>
                <w:sz w:val="18"/>
                <w:szCs w:val="18"/>
                <w:color w:val="auto"/>
              </w:rPr>
              <w:t>Argentina</w:t>
            </w:r>
          </w:p>
        </w:tc>
        <w:tc>
          <w:tcPr>
            <w:tcW w:w="600" w:type="dxa"/>
            <w:vAlign w:val="bottom"/>
          </w:tcPr>
          <w:p>
            <w:pPr>
              <w:jc w:val="center"/>
              <w:spacing w:after="0"/>
              <w:rPr>
                <w:sz w:val="20"/>
                <w:szCs w:val="20"/>
                <w:color w:val="auto"/>
              </w:rPr>
            </w:pPr>
            <w:r>
              <w:rPr>
                <w:rFonts w:ascii="Arial" w:cs="Arial" w:eastAsia="Arial" w:hAnsi="Arial"/>
                <w:sz w:val="18"/>
                <w:szCs w:val="18"/>
                <w:color w:val="auto"/>
                <w:w w:val="99"/>
              </w:rPr>
              <w:t>44</w:t>
            </w:r>
          </w:p>
        </w:tc>
      </w:tr>
      <w:tr>
        <w:trPr>
          <w:trHeight w:val="63"/>
        </w:trPr>
        <w:tc>
          <w:tcPr>
            <w:tcW w:w="2480" w:type="dxa"/>
            <w:vAlign w:val="bottom"/>
          </w:tcPr>
          <w:p>
            <w:pPr>
              <w:spacing w:after="0"/>
              <w:rPr>
                <w:sz w:val="5"/>
                <w:szCs w:val="5"/>
                <w:color w:val="auto"/>
              </w:rPr>
            </w:pPr>
          </w:p>
        </w:tc>
        <w:tc>
          <w:tcPr>
            <w:tcW w:w="3540" w:type="dxa"/>
            <w:vAlign w:val="bottom"/>
          </w:tcPr>
          <w:p>
            <w:pPr>
              <w:spacing w:after="0"/>
              <w:rPr>
                <w:sz w:val="5"/>
                <w:szCs w:val="5"/>
                <w:color w:val="auto"/>
              </w:rPr>
            </w:pPr>
          </w:p>
        </w:tc>
        <w:tc>
          <w:tcPr>
            <w:tcW w:w="2240" w:type="dxa"/>
            <w:vAlign w:val="bottom"/>
          </w:tcPr>
          <w:p>
            <w:pPr>
              <w:spacing w:after="0"/>
              <w:rPr>
                <w:sz w:val="5"/>
                <w:szCs w:val="5"/>
                <w:color w:val="auto"/>
              </w:rPr>
            </w:pPr>
          </w:p>
        </w:tc>
        <w:tc>
          <w:tcPr>
            <w:tcW w:w="600" w:type="dxa"/>
            <w:vAlign w:val="bottom"/>
          </w:tcPr>
          <w:p>
            <w:pPr>
              <w:spacing w:after="0"/>
              <w:rPr>
                <w:sz w:val="5"/>
                <w:szCs w:val="5"/>
                <w:color w:val="auto"/>
              </w:rPr>
            </w:pPr>
          </w:p>
        </w:tc>
      </w:tr>
      <w:tr>
        <w:trPr>
          <w:trHeight w:val="261"/>
        </w:trPr>
        <w:tc>
          <w:tcPr>
            <w:tcW w:w="2480" w:type="dxa"/>
            <w:vAlign w:val="bottom"/>
            <w:shd w:val="clear" w:color="auto" w:fill="D7E7F5"/>
          </w:tcPr>
          <w:p>
            <w:pPr>
              <w:ind w:left="100"/>
              <w:spacing w:after="0"/>
              <w:rPr>
                <w:sz w:val="20"/>
                <w:szCs w:val="20"/>
                <w:color w:val="auto"/>
              </w:rPr>
            </w:pPr>
            <w:r>
              <w:rPr>
                <w:rFonts w:ascii="Arial" w:cs="Arial" w:eastAsia="Arial" w:hAnsi="Arial"/>
                <w:sz w:val="18"/>
                <w:szCs w:val="18"/>
                <w:color w:val="auto"/>
              </w:rPr>
              <w:t>Jorge Luis Real</w:t>
            </w:r>
          </w:p>
        </w:tc>
        <w:tc>
          <w:tcPr>
            <w:tcW w:w="3540" w:type="dxa"/>
            <w:vAlign w:val="bottom"/>
            <w:shd w:val="clear" w:color="auto" w:fill="D7E7F5"/>
          </w:tcPr>
          <w:p>
            <w:pPr>
              <w:ind w:left="400"/>
              <w:spacing w:after="0"/>
              <w:rPr>
                <w:sz w:val="20"/>
                <w:szCs w:val="20"/>
                <w:color w:val="auto"/>
              </w:rPr>
            </w:pPr>
            <w:r>
              <w:rPr>
                <w:rFonts w:ascii="Arial" w:cs="Arial" w:eastAsia="Arial" w:hAnsi="Arial"/>
                <w:sz w:val="18"/>
                <w:szCs w:val="18"/>
                <w:color w:val="auto"/>
              </w:rPr>
              <w:t>Executive Vice President</w:t>
            </w:r>
          </w:p>
        </w:tc>
        <w:tc>
          <w:tcPr>
            <w:tcW w:w="2240" w:type="dxa"/>
            <w:vAlign w:val="bottom"/>
            <w:shd w:val="clear" w:color="auto" w:fill="D7E7F5"/>
          </w:tcPr>
          <w:p>
            <w:pPr>
              <w:spacing w:after="0"/>
              <w:rPr>
                <w:sz w:val="22"/>
                <w:szCs w:val="22"/>
                <w:color w:val="auto"/>
              </w:rPr>
            </w:pPr>
          </w:p>
        </w:tc>
        <w:tc>
          <w:tcPr>
            <w:tcW w:w="600" w:type="dxa"/>
            <w:vAlign w:val="bottom"/>
            <w:shd w:val="clear" w:color="auto" w:fill="D7E7F5"/>
          </w:tcPr>
          <w:p>
            <w:pPr>
              <w:spacing w:after="0"/>
              <w:rPr>
                <w:sz w:val="22"/>
                <w:szCs w:val="22"/>
                <w:color w:val="auto"/>
              </w:rPr>
            </w:pPr>
          </w:p>
        </w:tc>
      </w:tr>
      <w:tr>
        <w:trPr>
          <w:trHeight w:val="203"/>
        </w:trPr>
        <w:tc>
          <w:tcPr>
            <w:tcW w:w="2480" w:type="dxa"/>
            <w:vAlign w:val="bottom"/>
            <w:shd w:val="clear" w:color="auto" w:fill="D7E7F5"/>
          </w:tcPr>
          <w:p>
            <w:pPr>
              <w:spacing w:after="0"/>
              <w:rPr>
                <w:sz w:val="17"/>
                <w:szCs w:val="17"/>
                <w:color w:val="auto"/>
              </w:rPr>
            </w:pPr>
          </w:p>
        </w:tc>
        <w:tc>
          <w:tcPr>
            <w:tcW w:w="3540" w:type="dxa"/>
            <w:vAlign w:val="bottom"/>
            <w:shd w:val="clear" w:color="auto" w:fill="D7E7F5"/>
          </w:tcPr>
          <w:p>
            <w:pPr>
              <w:ind w:left="400"/>
              <w:spacing w:after="0" w:line="202" w:lineRule="exact"/>
              <w:rPr>
                <w:sz w:val="20"/>
                <w:szCs w:val="20"/>
                <w:color w:val="auto"/>
              </w:rPr>
            </w:pPr>
            <w:r>
              <w:rPr>
                <w:rFonts w:ascii="Arial" w:cs="Arial" w:eastAsia="Arial" w:hAnsi="Arial"/>
                <w:sz w:val="18"/>
                <w:szCs w:val="18"/>
                <w:color w:val="auto"/>
              </w:rPr>
              <w:t>Chief Legal Officer and</w:t>
            </w:r>
          </w:p>
        </w:tc>
        <w:tc>
          <w:tcPr>
            <w:tcW w:w="2240" w:type="dxa"/>
            <w:vAlign w:val="bottom"/>
            <w:shd w:val="clear" w:color="auto" w:fill="D7E7F5"/>
          </w:tcPr>
          <w:p>
            <w:pPr>
              <w:spacing w:after="0"/>
              <w:rPr>
                <w:sz w:val="17"/>
                <w:szCs w:val="17"/>
                <w:color w:val="auto"/>
              </w:rPr>
            </w:pPr>
          </w:p>
        </w:tc>
        <w:tc>
          <w:tcPr>
            <w:tcW w:w="600" w:type="dxa"/>
            <w:vAlign w:val="bottom"/>
            <w:shd w:val="clear" w:color="auto" w:fill="D7E7F5"/>
          </w:tcPr>
          <w:p>
            <w:pPr>
              <w:spacing w:after="0"/>
              <w:rPr>
                <w:sz w:val="17"/>
                <w:szCs w:val="17"/>
                <w:color w:val="auto"/>
              </w:rPr>
            </w:pPr>
          </w:p>
        </w:tc>
      </w:tr>
      <w:tr>
        <w:trPr>
          <w:trHeight w:val="243"/>
        </w:trPr>
        <w:tc>
          <w:tcPr>
            <w:tcW w:w="2480" w:type="dxa"/>
            <w:vAlign w:val="bottom"/>
            <w:shd w:val="clear" w:color="auto" w:fill="D7E7F5"/>
          </w:tcPr>
          <w:p>
            <w:pPr>
              <w:spacing w:after="0"/>
              <w:rPr>
                <w:sz w:val="21"/>
                <w:szCs w:val="21"/>
                <w:color w:val="auto"/>
              </w:rPr>
            </w:pPr>
          </w:p>
        </w:tc>
        <w:tc>
          <w:tcPr>
            <w:tcW w:w="3540" w:type="dxa"/>
            <w:vAlign w:val="bottom"/>
            <w:shd w:val="clear" w:color="auto" w:fill="D7E7F5"/>
          </w:tcPr>
          <w:p>
            <w:pPr>
              <w:ind w:left="400"/>
              <w:spacing w:after="0"/>
              <w:rPr>
                <w:sz w:val="20"/>
                <w:szCs w:val="20"/>
                <w:color w:val="auto"/>
              </w:rPr>
            </w:pPr>
            <w:r>
              <w:rPr>
                <w:rFonts w:ascii="Arial" w:cs="Arial" w:eastAsia="Arial" w:hAnsi="Arial"/>
                <w:sz w:val="18"/>
                <w:szCs w:val="18"/>
                <w:color w:val="auto"/>
              </w:rPr>
              <w:t>Secretary of the Board of Directors</w:t>
            </w:r>
          </w:p>
        </w:tc>
        <w:tc>
          <w:tcPr>
            <w:tcW w:w="2240" w:type="dxa"/>
            <w:vAlign w:val="bottom"/>
            <w:shd w:val="clear" w:color="auto" w:fill="D7E7F5"/>
          </w:tcPr>
          <w:p>
            <w:pPr>
              <w:jc w:val="center"/>
              <w:ind w:left="131"/>
              <w:spacing w:after="0"/>
              <w:rPr>
                <w:sz w:val="20"/>
                <w:szCs w:val="20"/>
                <w:color w:val="auto"/>
              </w:rPr>
            </w:pPr>
            <w:r>
              <w:rPr>
                <w:rFonts w:ascii="Arial" w:cs="Arial" w:eastAsia="Arial" w:hAnsi="Arial"/>
                <w:sz w:val="18"/>
                <w:szCs w:val="18"/>
                <w:color w:val="auto"/>
                <w:w w:val="98"/>
              </w:rPr>
              <w:t>Panama</w:t>
            </w:r>
          </w:p>
        </w:tc>
        <w:tc>
          <w:tcPr>
            <w:tcW w:w="60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48</w:t>
            </w:r>
          </w:p>
        </w:tc>
      </w:tr>
      <w:tr>
        <w:trPr>
          <w:trHeight w:val="63"/>
        </w:trPr>
        <w:tc>
          <w:tcPr>
            <w:tcW w:w="2480" w:type="dxa"/>
            <w:vAlign w:val="bottom"/>
            <w:shd w:val="clear" w:color="auto" w:fill="D7E7F5"/>
          </w:tcPr>
          <w:p>
            <w:pPr>
              <w:spacing w:after="0"/>
              <w:rPr>
                <w:sz w:val="5"/>
                <w:szCs w:val="5"/>
                <w:color w:val="auto"/>
              </w:rPr>
            </w:pPr>
          </w:p>
        </w:tc>
        <w:tc>
          <w:tcPr>
            <w:tcW w:w="3540" w:type="dxa"/>
            <w:vAlign w:val="bottom"/>
            <w:shd w:val="clear" w:color="auto" w:fill="D7E7F5"/>
          </w:tcPr>
          <w:p>
            <w:pPr>
              <w:spacing w:after="0"/>
              <w:rPr>
                <w:sz w:val="5"/>
                <w:szCs w:val="5"/>
                <w:color w:val="auto"/>
              </w:rPr>
            </w:pPr>
          </w:p>
        </w:tc>
        <w:tc>
          <w:tcPr>
            <w:tcW w:w="2240" w:type="dxa"/>
            <w:vAlign w:val="bottom"/>
            <w:shd w:val="clear" w:color="auto" w:fill="D7E7F5"/>
          </w:tcPr>
          <w:p>
            <w:pPr>
              <w:spacing w:after="0"/>
              <w:rPr>
                <w:sz w:val="5"/>
                <w:szCs w:val="5"/>
                <w:color w:val="auto"/>
              </w:rPr>
            </w:pPr>
          </w:p>
        </w:tc>
        <w:tc>
          <w:tcPr>
            <w:tcW w:w="600" w:type="dxa"/>
            <w:vAlign w:val="bottom"/>
            <w:shd w:val="clear" w:color="auto" w:fill="D7E7F5"/>
          </w:tcPr>
          <w:p>
            <w:pPr>
              <w:spacing w:after="0"/>
              <w:rPr>
                <w:sz w:val="5"/>
                <w:szCs w:val="5"/>
                <w:color w:val="auto"/>
              </w:rPr>
            </w:pPr>
          </w:p>
        </w:tc>
      </w:tr>
      <w:tr>
        <w:trPr>
          <w:trHeight w:val="261"/>
        </w:trPr>
        <w:tc>
          <w:tcPr>
            <w:tcW w:w="2480" w:type="dxa"/>
            <w:vAlign w:val="bottom"/>
          </w:tcPr>
          <w:p>
            <w:pPr>
              <w:ind w:left="100"/>
              <w:spacing w:after="0"/>
              <w:rPr>
                <w:sz w:val="20"/>
                <w:szCs w:val="20"/>
                <w:color w:val="auto"/>
              </w:rPr>
            </w:pPr>
            <w:r>
              <w:rPr>
                <w:rFonts w:ascii="Arial" w:cs="Arial" w:eastAsia="Arial" w:hAnsi="Arial"/>
                <w:sz w:val="18"/>
                <w:szCs w:val="18"/>
                <w:color w:val="auto"/>
              </w:rPr>
              <w:t>Jorge Córdoba</w:t>
            </w:r>
          </w:p>
        </w:tc>
        <w:tc>
          <w:tcPr>
            <w:tcW w:w="3540" w:type="dxa"/>
            <w:vAlign w:val="bottom"/>
          </w:tcPr>
          <w:p>
            <w:pPr>
              <w:ind w:left="400"/>
              <w:spacing w:after="0"/>
              <w:rPr>
                <w:sz w:val="20"/>
                <w:szCs w:val="20"/>
                <w:color w:val="auto"/>
              </w:rPr>
            </w:pPr>
            <w:r>
              <w:rPr>
                <w:rFonts w:ascii="Arial" w:cs="Arial" w:eastAsia="Arial" w:hAnsi="Arial"/>
                <w:sz w:val="18"/>
                <w:szCs w:val="18"/>
                <w:color w:val="auto"/>
              </w:rPr>
              <w:t>Executive Vice President</w:t>
            </w:r>
          </w:p>
        </w:tc>
        <w:tc>
          <w:tcPr>
            <w:tcW w:w="2240" w:type="dxa"/>
            <w:vAlign w:val="bottom"/>
          </w:tcPr>
          <w:p>
            <w:pPr>
              <w:spacing w:after="0"/>
              <w:rPr>
                <w:sz w:val="22"/>
                <w:szCs w:val="22"/>
                <w:color w:val="auto"/>
              </w:rPr>
            </w:pPr>
          </w:p>
        </w:tc>
        <w:tc>
          <w:tcPr>
            <w:tcW w:w="600" w:type="dxa"/>
            <w:vAlign w:val="bottom"/>
          </w:tcPr>
          <w:p>
            <w:pPr>
              <w:spacing w:after="0"/>
              <w:rPr>
                <w:sz w:val="22"/>
                <w:szCs w:val="22"/>
                <w:color w:val="auto"/>
              </w:rPr>
            </w:pPr>
          </w:p>
        </w:tc>
      </w:tr>
      <w:tr>
        <w:trPr>
          <w:trHeight w:val="243"/>
        </w:trPr>
        <w:tc>
          <w:tcPr>
            <w:tcW w:w="2480" w:type="dxa"/>
            <w:vAlign w:val="bottom"/>
          </w:tcPr>
          <w:p>
            <w:pPr>
              <w:spacing w:after="0"/>
              <w:rPr>
                <w:sz w:val="21"/>
                <w:szCs w:val="21"/>
                <w:color w:val="auto"/>
              </w:rPr>
            </w:pPr>
          </w:p>
        </w:tc>
        <w:tc>
          <w:tcPr>
            <w:tcW w:w="3540" w:type="dxa"/>
            <w:vAlign w:val="bottom"/>
          </w:tcPr>
          <w:p>
            <w:pPr>
              <w:ind w:left="400"/>
              <w:spacing w:after="0"/>
              <w:rPr>
                <w:sz w:val="20"/>
                <w:szCs w:val="20"/>
                <w:color w:val="auto"/>
              </w:rPr>
            </w:pPr>
            <w:r>
              <w:rPr>
                <w:rFonts w:ascii="Arial" w:cs="Arial" w:eastAsia="Arial" w:hAnsi="Arial"/>
                <w:sz w:val="18"/>
                <w:szCs w:val="18"/>
                <w:color w:val="auto"/>
              </w:rPr>
              <w:t>Chief Audit Officer</w:t>
            </w:r>
          </w:p>
        </w:tc>
        <w:tc>
          <w:tcPr>
            <w:tcW w:w="2240" w:type="dxa"/>
            <w:vAlign w:val="bottom"/>
          </w:tcPr>
          <w:p>
            <w:pPr>
              <w:jc w:val="center"/>
              <w:ind w:left="131"/>
              <w:spacing w:after="0"/>
              <w:rPr>
                <w:sz w:val="20"/>
                <w:szCs w:val="20"/>
                <w:color w:val="auto"/>
              </w:rPr>
            </w:pPr>
            <w:r>
              <w:rPr>
                <w:rFonts w:ascii="Arial" w:cs="Arial" w:eastAsia="Arial" w:hAnsi="Arial"/>
                <w:sz w:val="18"/>
                <w:szCs w:val="18"/>
                <w:color w:val="auto"/>
                <w:w w:val="98"/>
              </w:rPr>
              <w:t>Panama</w:t>
            </w:r>
          </w:p>
        </w:tc>
        <w:tc>
          <w:tcPr>
            <w:tcW w:w="600" w:type="dxa"/>
            <w:vAlign w:val="bottom"/>
          </w:tcPr>
          <w:p>
            <w:pPr>
              <w:jc w:val="center"/>
              <w:spacing w:after="0"/>
              <w:rPr>
                <w:sz w:val="20"/>
                <w:szCs w:val="20"/>
                <w:color w:val="auto"/>
              </w:rPr>
            </w:pPr>
            <w:r>
              <w:rPr>
                <w:rFonts w:ascii="Arial" w:cs="Arial" w:eastAsia="Arial" w:hAnsi="Arial"/>
                <w:sz w:val="18"/>
                <w:szCs w:val="18"/>
                <w:color w:val="auto"/>
                <w:w w:val="99"/>
              </w:rPr>
              <w:t>47</w:t>
            </w:r>
          </w:p>
        </w:tc>
      </w:tr>
      <w:tr>
        <w:trPr>
          <w:trHeight w:val="36"/>
        </w:trPr>
        <w:tc>
          <w:tcPr>
            <w:tcW w:w="2480" w:type="dxa"/>
            <w:vAlign w:val="bottom"/>
            <w:tcBorders>
              <w:bottom w:val="single" w:sz="8" w:color="0065C1"/>
            </w:tcBorders>
          </w:tcPr>
          <w:p>
            <w:pPr>
              <w:spacing w:after="0"/>
              <w:rPr>
                <w:sz w:val="3"/>
                <w:szCs w:val="3"/>
                <w:color w:val="auto"/>
              </w:rPr>
            </w:pPr>
          </w:p>
        </w:tc>
        <w:tc>
          <w:tcPr>
            <w:tcW w:w="3540" w:type="dxa"/>
            <w:vAlign w:val="bottom"/>
            <w:tcBorders>
              <w:bottom w:val="single" w:sz="8" w:color="0065C1"/>
            </w:tcBorders>
          </w:tcPr>
          <w:p>
            <w:pPr>
              <w:spacing w:after="0"/>
              <w:rPr>
                <w:sz w:val="3"/>
                <w:szCs w:val="3"/>
                <w:color w:val="auto"/>
              </w:rPr>
            </w:pPr>
          </w:p>
        </w:tc>
        <w:tc>
          <w:tcPr>
            <w:tcW w:w="2240" w:type="dxa"/>
            <w:vAlign w:val="bottom"/>
            <w:tcBorders>
              <w:bottom w:val="single" w:sz="8" w:color="0065C1"/>
            </w:tcBorders>
          </w:tcPr>
          <w:p>
            <w:pPr>
              <w:spacing w:after="0"/>
              <w:rPr>
                <w:sz w:val="3"/>
                <w:szCs w:val="3"/>
                <w:color w:val="auto"/>
              </w:rPr>
            </w:pPr>
          </w:p>
        </w:tc>
        <w:tc>
          <w:tcPr>
            <w:tcW w:w="600" w:type="dxa"/>
            <w:vAlign w:val="bottom"/>
            <w:tcBorders>
              <w:bottom w:val="single" w:sz="8" w:color="0065C1"/>
            </w:tcBorders>
          </w:tcPr>
          <w:p>
            <w:pPr>
              <w:spacing w:after="0"/>
              <w:rPr>
                <w:sz w:val="3"/>
                <w:szCs w:val="3"/>
                <w:color w:val="auto"/>
              </w:rPr>
            </w:pPr>
          </w:p>
        </w:tc>
      </w:tr>
    </w:tbl>
    <w:p>
      <w:pPr>
        <w:spacing w:after="0" w:line="124" w:lineRule="exact"/>
        <w:rPr>
          <w:sz w:val="20"/>
          <w:szCs w:val="20"/>
          <w:color w:val="auto"/>
        </w:rPr>
      </w:pPr>
    </w:p>
    <w:p>
      <w:pPr>
        <w:jc w:val="both"/>
        <w:ind w:left="80" w:right="79"/>
        <w:spacing w:after="0" w:line="242" w:lineRule="auto"/>
        <w:rPr>
          <w:sz w:val="20"/>
          <w:szCs w:val="20"/>
          <w:color w:val="auto"/>
        </w:rPr>
      </w:pPr>
      <w:r>
        <w:rPr>
          <w:rFonts w:ascii="Arial" w:cs="Arial" w:eastAsia="Arial" w:hAnsi="Arial"/>
          <w:sz w:val="18"/>
          <w:szCs w:val="18"/>
          <w:b w:val="1"/>
          <w:bCs w:val="1"/>
          <w:color w:val="auto"/>
        </w:rPr>
        <w:t xml:space="preserve">Jorge Salas </w:t>
      </w:r>
      <w:r>
        <w:rPr>
          <w:rFonts w:ascii="Arial" w:cs="Arial" w:eastAsia="Arial" w:hAnsi="Arial"/>
          <w:sz w:val="18"/>
          <w:szCs w:val="18"/>
          <w:color w:val="auto"/>
        </w:rPr>
        <w:t>has been the Chief Executive Officer of the Bank since March 9, 2020. Before joining Bladex,</w:t>
      </w:r>
      <w:r>
        <w:rPr>
          <w:rFonts w:ascii="Arial" w:cs="Arial" w:eastAsia="Arial" w:hAnsi="Arial"/>
          <w:sz w:val="18"/>
          <w:szCs w:val="18"/>
          <w:b w:val="1"/>
          <w:bCs w:val="1"/>
          <w:color w:val="auto"/>
        </w:rPr>
        <w:t xml:space="preserve"> </w:t>
      </w:r>
      <w:r>
        <w:rPr>
          <w:rFonts w:ascii="Arial" w:cs="Arial" w:eastAsia="Arial" w:hAnsi="Arial"/>
          <w:sz w:val="18"/>
          <w:szCs w:val="18"/>
          <w:color w:val="auto"/>
        </w:rPr>
        <w:t>Mr. Salas served as President and Chief Executive Officer of Banesco USA, in Coral Gables Florida for 5 years, and previously worked in various capacities in the Banesco Financial group since 2000, including as President and Chief Executive Officer of Banesco Panama from 2008 to 2014. Mr. Salas holds a Degree in Business Administration (Banking and Finance) from Universidad Metropolitana, in Caracas, Venezuela, a Diploma for Specialization in Economics from the University of Colorado at Boulder, as well as a Master in Public Policy and an MBA both from the University of Chicago.</w:t>
      </w:r>
    </w:p>
    <w:p>
      <w:pPr>
        <w:spacing w:after="0" w:line="105" w:lineRule="exact"/>
        <w:rPr>
          <w:sz w:val="20"/>
          <w:szCs w:val="20"/>
          <w:color w:val="auto"/>
        </w:rPr>
      </w:pPr>
    </w:p>
    <w:p>
      <w:pPr>
        <w:jc w:val="both"/>
        <w:ind w:left="80" w:right="79"/>
        <w:spacing w:after="0" w:line="242" w:lineRule="auto"/>
        <w:rPr>
          <w:sz w:val="20"/>
          <w:szCs w:val="20"/>
          <w:color w:val="auto"/>
        </w:rPr>
      </w:pPr>
      <w:r>
        <w:rPr>
          <w:rFonts w:ascii="Arial" w:cs="Arial" w:eastAsia="Arial" w:hAnsi="Arial"/>
          <w:sz w:val="18"/>
          <w:szCs w:val="18"/>
          <w:b w:val="1"/>
          <w:bCs w:val="1"/>
          <w:color w:val="auto"/>
        </w:rPr>
        <w:t xml:space="preserve">Erica Lijtztain </w:t>
      </w:r>
      <w:r>
        <w:rPr>
          <w:rFonts w:ascii="Arial" w:cs="Arial" w:eastAsia="Arial" w:hAnsi="Arial"/>
          <w:sz w:val="18"/>
          <w:szCs w:val="18"/>
          <w:color w:val="auto"/>
        </w:rPr>
        <w:t>was appointed Executive Vice President, Chief Operating Officer in February 2018, and has</w:t>
      </w:r>
      <w:r>
        <w:rPr>
          <w:rFonts w:ascii="Arial" w:cs="Arial" w:eastAsia="Arial" w:hAnsi="Arial"/>
          <w:sz w:val="18"/>
          <w:szCs w:val="18"/>
          <w:b w:val="1"/>
          <w:bCs w:val="1"/>
          <w:color w:val="auto"/>
        </w:rPr>
        <w:t xml:space="preserve"> </w:t>
      </w:r>
      <w:r>
        <w:rPr>
          <w:rFonts w:ascii="Arial" w:cs="Arial" w:eastAsia="Arial" w:hAnsi="Arial"/>
          <w:sz w:val="18"/>
          <w:szCs w:val="18"/>
          <w:color w:val="auto"/>
        </w:rPr>
        <w:t>served as Senior Vice President, Corporate Services, since June 2017. She previously served in various capacities for Banco Patagonia, S.A. in Argentina: Executive Manager – Risk Management from 2015 to 2017, Budget and Information Manager from 2008 to 2015, Manager – Special Projects from 2003 to 2008, and Manager – Commercial Planning and Control from 2001 to 2003. Ms. Lijtztain is a Certified International Investment Analyst, and holds a Master’s degree in Business Administration from University Torcuato di Tella, Argentina, and a Bachelor’s degree in Economic Science – Actuary from University of Buenos Aires, Argentina.</w:t>
      </w:r>
    </w:p>
    <w:p>
      <w:pPr>
        <w:spacing w:after="0" w:line="92" w:lineRule="exact"/>
        <w:rPr>
          <w:sz w:val="20"/>
          <w:szCs w:val="20"/>
          <w:color w:val="auto"/>
        </w:rPr>
      </w:pPr>
    </w:p>
    <w:p>
      <w:pPr>
        <w:jc w:val="both"/>
        <w:ind w:left="80" w:right="99"/>
        <w:spacing w:after="0" w:line="239" w:lineRule="auto"/>
        <w:rPr>
          <w:sz w:val="20"/>
          <w:szCs w:val="20"/>
          <w:color w:val="auto"/>
        </w:rPr>
      </w:pPr>
      <w:r>
        <w:rPr>
          <w:rFonts w:ascii="Arial" w:cs="Arial" w:eastAsia="Arial" w:hAnsi="Arial"/>
          <w:sz w:val="18"/>
          <w:szCs w:val="18"/>
          <w:b w:val="1"/>
          <w:bCs w:val="1"/>
          <w:color w:val="auto"/>
        </w:rPr>
        <w:t xml:space="preserve">Alejandro Jaramillo </w:t>
      </w:r>
      <w:r>
        <w:rPr>
          <w:rFonts w:ascii="Arial" w:cs="Arial" w:eastAsia="Arial" w:hAnsi="Arial"/>
          <w:sz w:val="18"/>
          <w:szCs w:val="18"/>
          <w:color w:val="auto"/>
        </w:rPr>
        <w:t>was appointed Executive Vice President, Chief Commercial Officer of the Bank on May 1,</w:t>
      </w:r>
      <w:r>
        <w:rPr>
          <w:rFonts w:ascii="Arial" w:cs="Arial" w:eastAsia="Arial" w:hAnsi="Arial"/>
          <w:sz w:val="18"/>
          <w:szCs w:val="18"/>
          <w:b w:val="1"/>
          <w:bCs w:val="1"/>
          <w:color w:val="auto"/>
        </w:rPr>
        <w:t xml:space="preserve"> </w:t>
      </w:r>
      <w:r>
        <w:rPr>
          <w:rFonts w:ascii="Arial" w:cs="Arial" w:eastAsia="Arial" w:hAnsi="Arial"/>
          <w:sz w:val="18"/>
          <w:szCs w:val="18"/>
          <w:color w:val="auto"/>
        </w:rPr>
        <w:t>2017. Mr. Jaramillo joined the Bank in 2012, working in the Bank’s Treasury department as the Head of Funding. In 2013, he became the Head of Loan Structuring &amp; Distribution, spearheading the growth and development of the Bank’s Loan Syndication business. Prior to joining the Bank, Mr. Jaramillo worked for nine years at BNP Paribas, both in New York and in Bogota, Colombia. At BNP Paribas, he contributed to the development of the bank´s Commodity Structured Finance business in Latin America, and he was a Director in the Bank´s Corporate &amp; Investment Banking unit. Before that, he worked at Standard Chartered Bank as a credit analyst in their Bogota, Colombia office, as well as in the Global Commodity Finance unit in New York. Mr. Jaramillo has a Bachelor´s degree in Industrial Engineering from Universidad de los Andes - Bogota, Colombia, and an MBA from Columbia University in New York.</w:t>
      </w:r>
    </w:p>
    <w:p>
      <w:pPr>
        <w:spacing w:after="0" w:line="112" w:lineRule="exact"/>
        <w:rPr>
          <w:sz w:val="20"/>
          <w:szCs w:val="20"/>
          <w:color w:val="auto"/>
        </w:rPr>
      </w:pPr>
    </w:p>
    <w:p>
      <w:pPr>
        <w:jc w:val="both"/>
        <w:ind w:left="80" w:right="99"/>
        <w:spacing w:after="0" w:line="245" w:lineRule="auto"/>
        <w:rPr>
          <w:sz w:val="20"/>
          <w:szCs w:val="20"/>
          <w:color w:val="auto"/>
        </w:rPr>
      </w:pPr>
      <w:r>
        <w:rPr>
          <w:rFonts w:ascii="Arial" w:cs="Arial" w:eastAsia="Arial" w:hAnsi="Arial"/>
          <w:sz w:val="18"/>
          <w:szCs w:val="18"/>
          <w:b w:val="1"/>
          <w:bCs w:val="1"/>
          <w:color w:val="auto"/>
        </w:rPr>
        <w:t xml:space="preserve">Ana Graciela de Méndez </w:t>
      </w:r>
      <w:r>
        <w:rPr>
          <w:rFonts w:ascii="Arial" w:cs="Arial" w:eastAsia="Arial" w:hAnsi="Arial"/>
          <w:sz w:val="18"/>
          <w:szCs w:val="18"/>
          <w:color w:val="auto"/>
        </w:rPr>
        <w:t>has served as Executive Vice President, Chief Financial Officer or CFO of the Bank</w:t>
      </w:r>
      <w:r>
        <w:rPr>
          <w:rFonts w:ascii="Arial" w:cs="Arial" w:eastAsia="Arial" w:hAnsi="Arial"/>
          <w:sz w:val="18"/>
          <w:szCs w:val="18"/>
          <w:b w:val="1"/>
          <w:bCs w:val="1"/>
          <w:color w:val="auto"/>
        </w:rPr>
        <w:t xml:space="preserve"> </w:t>
      </w:r>
      <w:r>
        <w:rPr>
          <w:rFonts w:ascii="Arial" w:cs="Arial" w:eastAsia="Arial" w:hAnsi="Arial"/>
          <w:sz w:val="18"/>
          <w:szCs w:val="18"/>
          <w:color w:val="auto"/>
        </w:rPr>
        <w:t>since December 2017. She previously served in various capacities within the Bank, including as Senior Vice President of Finance and the alternate to the CFO from 2014 to 2017, as Vice President of Financial Planning and Analysis from 2002 to 2014, and several other assignments within the Bank’s Finance, Commercial and Economic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125095</wp:posOffset>
            </wp:positionV>
            <wp:extent cx="5623560" cy="88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210820</wp:posOffset>
            </wp:positionV>
            <wp:extent cx="411480" cy="17970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28" w:lineRule="exact"/>
        <w:rPr>
          <w:sz w:val="20"/>
          <w:szCs w:val="20"/>
          <w:color w:val="auto"/>
        </w:rPr>
      </w:pPr>
    </w:p>
    <w:p>
      <w:pPr>
        <w:ind w:left="6600"/>
        <w:spacing w:after="0"/>
        <w:tabs>
          <w:tab w:leader="none" w:pos="8720" w:val="left"/>
        </w:tabs>
        <w:rPr>
          <w:sz w:val="20"/>
          <w:szCs w:val="20"/>
          <w:color w:val="auto"/>
        </w:rPr>
      </w:pPr>
      <w:r>
        <w:rPr>
          <w:rFonts w:ascii="Arial" w:cs="Arial" w:eastAsia="Arial" w:hAnsi="Arial"/>
          <w:sz w:val="18"/>
          <w:szCs w:val="18"/>
          <w:b w:val="1"/>
          <w:bCs w:val="1"/>
          <w:color w:val="auto"/>
        </w:rPr>
        <w:t>Proxy Statement 2021</w:t>
      </w:r>
      <w:r>
        <w:rPr>
          <w:sz w:val="20"/>
          <w:szCs w:val="20"/>
          <w:color w:val="auto"/>
        </w:rPr>
        <w:tab/>
      </w:r>
      <w:r>
        <w:rPr>
          <w:rFonts w:ascii="Arial" w:cs="Arial" w:eastAsia="Arial" w:hAnsi="Arial"/>
          <w:sz w:val="17"/>
          <w:szCs w:val="17"/>
          <w:b w:val="1"/>
          <w:bCs w:val="1"/>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28" w:name="page29"/>
    <w:bookmarkEnd w:id="28"/>
    <w:p>
      <w:pPr>
        <w:ind w:left="80" w:right="539"/>
        <w:spacing w:after="0" w:line="251" w:lineRule="auto"/>
        <w:rPr>
          <w:sz w:val="20"/>
          <w:szCs w:val="20"/>
          <w:color w:val="auto"/>
        </w:rPr>
      </w:pPr>
      <w:r>
        <w:rPr>
          <w:rFonts w:ascii="Arial" w:cs="Arial" w:eastAsia="Arial" w:hAnsi="Arial"/>
          <w:sz w:val="22"/>
          <w:szCs w:val="22"/>
          <w:color w:val="0065C1"/>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182880</wp:posOffset>
            </wp:positionV>
            <wp:extent cx="5623560" cy="825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381" w:lineRule="exact"/>
        <w:rPr>
          <w:sz w:val="20"/>
          <w:szCs w:val="20"/>
          <w:color w:val="auto"/>
        </w:rPr>
      </w:pPr>
    </w:p>
    <w:p>
      <w:pPr>
        <w:jc w:val="both"/>
        <w:ind w:left="80" w:right="99"/>
        <w:spacing w:after="0" w:line="245" w:lineRule="auto"/>
        <w:rPr>
          <w:sz w:val="20"/>
          <w:szCs w:val="20"/>
          <w:color w:val="auto"/>
        </w:rPr>
      </w:pPr>
      <w:r>
        <w:rPr>
          <w:rFonts w:ascii="Arial" w:cs="Arial" w:eastAsia="Arial" w:hAnsi="Arial"/>
          <w:sz w:val="18"/>
          <w:szCs w:val="18"/>
          <w:color w:val="auto"/>
        </w:rPr>
        <w:t>areas since 1990, when she joined the Bank. Mrs. Méndez holds a Master’s Degree in Finance from the A.B. Freeman School of Business at Tulane University (USA) and from the Business School at Universidad Francisco Marroquin (Guatemala); completed Panama´s Advanced Management Program from the Haas School of Business at UC Berkeley (USA); and holds a Bachelor’s Degree in Business and Economics with specialization in Economics and Mathematics, from Albertus Magnus College (USA).</w:t>
      </w:r>
    </w:p>
    <w:p>
      <w:pPr>
        <w:spacing w:after="0" w:line="103" w:lineRule="exact"/>
        <w:rPr>
          <w:sz w:val="20"/>
          <w:szCs w:val="20"/>
          <w:color w:val="auto"/>
        </w:rPr>
      </w:pPr>
    </w:p>
    <w:p>
      <w:pPr>
        <w:jc w:val="both"/>
        <w:ind w:left="80" w:right="99"/>
        <w:spacing w:after="0" w:line="239" w:lineRule="auto"/>
        <w:rPr>
          <w:sz w:val="20"/>
          <w:szCs w:val="20"/>
          <w:color w:val="auto"/>
        </w:rPr>
      </w:pPr>
      <w:r>
        <w:rPr>
          <w:rFonts w:ascii="Arial" w:cs="Arial" w:eastAsia="Arial" w:hAnsi="Arial"/>
          <w:sz w:val="18"/>
          <w:szCs w:val="18"/>
          <w:b w:val="1"/>
          <w:bCs w:val="1"/>
          <w:color w:val="auto"/>
        </w:rPr>
        <w:t xml:space="preserve">Eduardo Vivone </w:t>
      </w:r>
      <w:r>
        <w:rPr>
          <w:rFonts w:ascii="Arial" w:cs="Arial" w:eastAsia="Arial" w:hAnsi="Arial"/>
          <w:sz w:val="18"/>
          <w:szCs w:val="18"/>
          <w:color w:val="auto"/>
        </w:rPr>
        <w:t>was appointed Executive Vice President, Treasury and Capital Markets, in February 2018,</w:t>
      </w:r>
      <w:r>
        <w:rPr>
          <w:rFonts w:ascii="Arial" w:cs="Arial" w:eastAsia="Arial" w:hAnsi="Arial"/>
          <w:sz w:val="18"/>
          <w:szCs w:val="18"/>
          <w:b w:val="1"/>
          <w:bCs w:val="1"/>
          <w:color w:val="auto"/>
        </w:rPr>
        <w:t xml:space="preserve"> </w:t>
      </w:r>
      <w:r>
        <w:rPr>
          <w:rFonts w:ascii="Arial" w:cs="Arial" w:eastAsia="Arial" w:hAnsi="Arial"/>
          <w:sz w:val="18"/>
          <w:szCs w:val="18"/>
          <w:color w:val="auto"/>
        </w:rPr>
        <w:t>and has served as Senior Vice President, Head of Treasury, since September 2013. He also served as Senior Vice President, Funding, from April through August 2013. Before joining the Bank, he served as Head of Global Markets for HSBC Bank Panama from 2010 to 2012, Regional Sector Head, Government Sector – Global Banking, Americas for HSBC Securities, New York from 2007 to 2010, Head of Treasury for HSBC Bank, Spain from 2003 to 2007, Head of Balance Sheet Management and Forward Foreign Exchange for HSBC Bank, Argentina from 1998 to 2003, and he served in diverse capacities for Banco Roberts, Buenos Aires from 1990 to 1998, serving his last two years as Head of Financial Planning. Mr. Vivone is a Certified Public Accountant and holds a Master’s degree in Finance from the University of CEMA, Buenos Aires, Argentina, and a Bachelor ´s degree in Accounting from University of Buenos Aires, Argentina.</w:t>
      </w:r>
    </w:p>
    <w:p>
      <w:pPr>
        <w:spacing w:after="0" w:line="112" w:lineRule="exact"/>
        <w:rPr>
          <w:sz w:val="20"/>
          <w:szCs w:val="20"/>
          <w:color w:val="auto"/>
        </w:rPr>
      </w:pPr>
    </w:p>
    <w:p>
      <w:pPr>
        <w:jc w:val="both"/>
        <w:ind w:left="80" w:right="99"/>
        <w:spacing w:after="0"/>
        <w:rPr>
          <w:sz w:val="20"/>
          <w:szCs w:val="20"/>
          <w:color w:val="auto"/>
        </w:rPr>
      </w:pPr>
      <w:r>
        <w:rPr>
          <w:rFonts w:ascii="Arial" w:cs="Arial" w:eastAsia="Arial" w:hAnsi="Arial"/>
          <w:sz w:val="18"/>
          <w:szCs w:val="18"/>
          <w:b w:val="1"/>
          <w:bCs w:val="1"/>
          <w:color w:val="auto"/>
        </w:rPr>
        <w:t xml:space="preserve">Alejandro Tizzoni </w:t>
      </w:r>
      <w:r>
        <w:rPr>
          <w:rFonts w:ascii="Arial" w:cs="Arial" w:eastAsia="Arial" w:hAnsi="Arial"/>
          <w:sz w:val="18"/>
          <w:szCs w:val="18"/>
          <w:color w:val="auto"/>
        </w:rPr>
        <w:t>has served as Executive Vice President, Chief Risk Officer of the Bank since May 2016. He</w:t>
      </w:r>
      <w:r>
        <w:rPr>
          <w:rFonts w:ascii="Arial" w:cs="Arial" w:eastAsia="Arial" w:hAnsi="Arial"/>
          <w:sz w:val="18"/>
          <w:szCs w:val="18"/>
          <w:b w:val="1"/>
          <w:bCs w:val="1"/>
          <w:color w:val="auto"/>
        </w:rPr>
        <w:t xml:space="preserve"> </w:t>
      </w:r>
      <w:r>
        <w:rPr>
          <w:rFonts w:ascii="Arial" w:cs="Arial" w:eastAsia="Arial" w:hAnsi="Arial"/>
          <w:sz w:val="18"/>
          <w:szCs w:val="18"/>
          <w:color w:val="auto"/>
        </w:rPr>
        <w:t>also served in various capacities within the Risk Management Department since 2006, as Senior Vice President from 2012 to 2016, Vice President from 2008 to 2012 and Senior Analyst from 2006 to 2008. Mr. Tizzoni served in different capacities in the credit risk area in banking and the international private sector in Argentina and Chile from 1997 to 2006. Mr. Tizzoni is a FIBA Anti-Money Laundering certified associate (AMLCA) by Florida International University, performed a fintech programme by Saïd Business School, University of Oxford, holds a Master Degree in Enterprise Risk Management from the NYU Stern School of Business, an MBA from the University of Louisville, and a Bachelor's degree in Business Administration and a Certified Public Accountant, both from the University of Buenos Aires in Argentina.</w:t>
      </w:r>
    </w:p>
    <w:p>
      <w:pPr>
        <w:spacing w:after="0" w:line="95" w:lineRule="exact"/>
        <w:rPr>
          <w:sz w:val="20"/>
          <w:szCs w:val="20"/>
          <w:color w:val="auto"/>
        </w:rPr>
      </w:pPr>
    </w:p>
    <w:p>
      <w:pPr>
        <w:jc w:val="both"/>
        <w:ind w:left="80" w:right="79"/>
        <w:spacing w:after="0" w:line="239" w:lineRule="auto"/>
        <w:rPr>
          <w:sz w:val="20"/>
          <w:szCs w:val="20"/>
          <w:color w:val="auto"/>
        </w:rPr>
      </w:pPr>
      <w:r>
        <w:rPr>
          <w:rFonts w:ascii="Arial" w:cs="Arial" w:eastAsia="Arial" w:hAnsi="Arial"/>
          <w:sz w:val="18"/>
          <w:szCs w:val="18"/>
          <w:b w:val="1"/>
          <w:bCs w:val="1"/>
          <w:color w:val="auto"/>
        </w:rPr>
        <w:t xml:space="preserve">Jorge Luis Real </w:t>
      </w:r>
      <w:r>
        <w:rPr>
          <w:rFonts w:ascii="Arial" w:cs="Arial" w:eastAsia="Arial" w:hAnsi="Arial"/>
          <w:sz w:val="18"/>
          <w:szCs w:val="18"/>
          <w:color w:val="auto"/>
        </w:rPr>
        <w:t>serves as Executive Vice President, Legal and Corporate Secretary since February 2018. He</w:t>
      </w:r>
      <w:r>
        <w:rPr>
          <w:rFonts w:ascii="Arial" w:cs="Arial" w:eastAsia="Arial" w:hAnsi="Arial"/>
          <w:sz w:val="18"/>
          <w:szCs w:val="18"/>
          <w:b w:val="1"/>
          <w:bCs w:val="1"/>
          <w:color w:val="auto"/>
        </w:rPr>
        <w:t xml:space="preserve"> </w:t>
      </w:r>
      <w:r>
        <w:rPr>
          <w:rFonts w:ascii="Arial" w:cs="Arial" w:eastAsia="Arial" w:hAnsi="Arial"/>
          <w:sz w:val="18"/>
          <w:szCs w:val="18"/>
          <w:color w:val="auto"/>
        </w:rPr>
        <w:t>previously served as Senior Vice President, Chief Legal Officer of the Bank from 2016 to 2018 and was appointed Secretary of the Board of Directors in April of 2016. He previously served as Head of Legal Risk of the Bank from 2014 to 2016. Before joining the Bank, he was Coordinator of Latin American Legal Affairs at BNP Paribas, New York from 2010 to 2014, Head of Legal Department at BNP Paribas Panama from 2005 to 2010, Head of Legal Department Panama Group of BBVA from 2000 to 2005 and Lawyer at Mauad &amp; Mauad in Panama in 2000. Mr. Real has a Law and Political Science degree from Universidad Católica Santa María La Antigua in Panama, holds a Master’s degree in Commercial and Corporate Law from Université Panthéon-Assas (Paris II) in France. He was admitted to practice law in Panama by the Panamanian Supreme Court of Justice in 1998. Mr. Real is a Florida International Banker’s Association (FIBA) Anti-Money Laundering certified associate (AMLCA), certified by the Florida International University.</w:t>
      </w:r>
    </w:p>
    <w:p>
      <w:pPr>
        <w:spacing w:after="0" w:line="109"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b w:val="1"/>
          <w:bCs w:val="1"/>
          <w:color w:val="auto"/>
        </w:rPr>
        <w:t xml:space="preserve">Jorge Córdoba </w:t>
      </w:r>
      <w:r>
        <w:rPr>
          <w:rFonts w:ascii="Arial" w:cs="Arial" w:eastAsia="Arial" w:hAnsi="Arial"/>
          <w:sz w:val="18"/>
          <w:szCs w:val="18"/>
          <w:color w:val="auto"/>
        </w:rPr>
        <w:t>joined the Bank as Executive Vice President, Chief Audit Officer in October 2017. Previously,</w:t>
      </w:r>
      <w:r>
        <w:rPr>
          <w:rFonts w:ascii="Arial" w:cs="Arial" w:eastAsia="Arial" w:hAnsi="Arial"/>
          <w:sz w:val="18"/>
          <w:szCs w:val="18"/>
          <w:b w:val="1"/>
          <w:bCs w:val="1"/>
          <w:color w:val="auto"/>
        </w:rPr>
        <w:t xml:space="preserve"> </w:t>
      </w:r>
      <w:r>
        <w:rPr>
          <w:rFonts w:ascii="Arial" w:cs="Arial" w:eastAsia="Arial" w:hAnsi="Arial"/>
          <w:sz w:val="18"/>
          <w:szCs w:val="18"/>
          <w:color w:val="auto"/>
        </w:rPr>
        <w:t>Mr. Córdoba served as Director of Internal Audit LATAM for Credit Andorra Financial Group from 2013 to 2017, where he supervised from Panama the internal audit of the Group business in Panama, Mexico, Peru, Paraguay, Uruguay, Colombia and Miami, U.S.A. Between the years 2002 and 2013, he served as International Internal Auditor for Pan-American Life Insurance Group (PALIG) in charge of the branch offices and affiliates in some Latin American countries and U.S. cities. During 2001 and 2002, he served as Internal Auditor for Dresdner Bank Lateinamerica AG – Panama, and from 1992 to 2001, he served as Senior Auditor for PricewaterhouseCoopers. Mr. Córdoba is a FIBA Anti-Money Laundering Certified Associate (AMLCA) by Florida International University, earned a COSO Internal Control Certificate from the Institute of Internal Auditor, is a Certified Public Accountant and holds a Degree in Accounting from Universidad de Panama. He also holds a Post Graduate Certificate in International Trade Management from St. Clair College of Applied Arts and Technology in Ontario, Canada.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132080</wp:posOffset>
            </wp:positionV>
            <wp:extent cx="5623560" cy="825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217805</wp:posOffset>
            </wp:positionV>
            <wp:extent cx="411480" cy="18034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38"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22</w:t>
        <w:tab/>
        <w:t>Proxy Statement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29" w:name="page30"/>
    <w:bookmarkEnd w:id="29"/>
    <w:p>
      <w:pPr>
        <w:jc w:val="right"/>
        <w:ind w:left="520" w:right="79"/>
        <w:spacing w:after="0" w:line="251" w:lineRule="auto"/>
        <w:rPr>
          <w:sz w:val="20"/>
          <w:szCs w:val="20"/>
          <w:color w:val="auto"/>
        </w:rPr>
      </w:pPr>
      <w:r>
        <w:rPr>
          <w:rFonts w:ascii="Arial" w:cs="Arial" w:eastAsia="Arial" w:hAnsi="Arial"/>
          <w:sz w:val="22"/>
          <w:szCs w:val="22"/>
          <w:color w:val="0065C1"/>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182880</wp:posOffset>
            </wp:positionV>
            <wp:extent cx="5623560" cy="825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394"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Compensation of Executive Officers and Directors</w:t>
      </w:r>
    </w:p>
    <w:p>
      <w:pPr>
        <w:spacing w:after="0" w:line="152" w:lineRule="exact"/>
        <w:rPr>
          <w:sz w:val="20"/>
          <w:szCs w:val="20"/>
          <w:color w:val="auto"/>
        </w:rPr>
      </w:pPr>
    </w:p>
    <w:p>
      <w:pPr>
        <w:jc w:val="both"/>
        <w:ind w:left="80" w:right="79"/>
        <w:spacing w:after="0" w:line="248" w:lineRule="auto"/>
        <w:rPr>
          <w:sz w:val="20"/>
          <w:szCs w:val="20"/>
          <w:color w:val="auto"/>
        </w:rPr>
      </w:pPr>
      <w:r>
        <w:rPr>
          <w:rFonts w:ascii="Arial" w:cs="Arial" w:eastAsia="Arial" w:hAnsi="Arial"/>
          <w:sz w:val="18"/>
          <w:szCs w:val="18"/>
          <w:color w:val="auto"/>
        </w:rPr>
        <w:t>The Compensation Committee has reviewed and discussed the below “Compensation of Executive Officers and Directors” section with the Bank’s management, and based on this review and discussion, the Compensation Committee has recommended to the Board that the following “Compensation of Executive Officers and Directors” discussion be included in the Bank’s Proxy Statement for 2021.</w:t>
      </w:r>
    </w:p>
    <w:p>
      <w:pPr>
        <w:spacing w:after="0" w:line="197"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Compensation Consultant</w:t>
      </w:r>
    </w:p>
    <w:p>
      <w:pPr>
        <w:spacing w:after="0" w:line="152" w:lineRule="exact"/>
        <w:rPr>
          <w:sz w:val="20"/>
          <w:szCs w:val="20"/>
          <w:color w:val="auto"/>
        </w:rPr>
      </w:pPr>
    </w:p>
    <w:p>
      <w:pPr>
        <w:jc w:val="both"/>
        <w:ind w:left="80" w:right="79"/>
        <w:spacing w:after="0" w:line="248" w:lineRule="auto"/>
        <w:rPr>
          <w:sz w:val="20"/>
          <w:szCs w:val="20"/>
          <w:color w:val="auto"/>
        </w:rPr>
      </w:pPr>
      <w:r>
        <w:rPr>
          <w:rFonts w:ascii="Arial" w:cs="Arial" w:eastAsia="Arial" w:hAnsi="Arial"/>
          <w:sz w:val="18"/>
          <w:szCs w:val="18"/>
          <w:color w:val="auto"/>
        </w:rPr>
        <w:t>The Compensation Committee has authority to retain compensation consulting firms to assist it in the evaluation of executive officer and employee compensation and benefit programs. In 2020, the Compensation Committee retained a specialized consultant to review the Bank's Salary Compensation scheme. The results of the consultant’s review are expected to be presented to the Board for consideration in 2021.</w:t>
      </w:r>
    </w:p>
    <w:p>
      <w:pPr>
        <w:spacing w:after="0" w:line="197"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Executive Officers Compensation</w:t>
      </w:r>
    </w:p>
    <w:p>
      <w:pPr>
        <w:spacing w:after="0" w:line="152" w:lineRule="exact"/>
        <w:rPr>
          <w:sz w:val="20"/>
          <w:szCs w:val="20"/>
          <w:color w:val="auto"/>
        </w:rPr>
      </w:pPr>
    </w:p>
    <w:p>
      <w:pPr>
        <w:jc w:val="both"/>
        <w:ind w:left="80" w:right="99"/>
        <w:spacing w:after="0" w:line="248" w:lineRule="auto"/>
        <w:rPr>
          <w:sz w:val="20"/>
          <w:szCs w:val="20"/>
          <w:color w:val="auto"/>
        </w:rPr>
      </w:pPr>
      <w:r>
        <w:rPr>
          <w:rFonts w:ascii="Arial" w:cs="Arial" w:eastAsia="Arial" w:hAnsi="Arial"/>
          <w:sz w:val="18"/>
          <w:szCs w:val="18"/>
          <w:color w:val="auto"/>
        </w:rPr>
        <w:t>Annually, in order to incentivize the alignment and collaboration of all areas of the Bank, the Bank pays to its executive officers’ variable compensation, based on the extent to which each officer meets certain individual and corporate objectives which are defined by the Board of Directors. This variable compensation is paid in both cash and in stock options and/or restricted stock units.</w:t>
      </w:r>
    </w:p>
    <w:p>
      <w:pPr>
        <w:spacing w:after="0" w:line="89" w:lineRule="exact"/>
        <w:rPr>
          <w:sz w:val="20"/>
          <w:szCs w:val="20"/>
          <w:color w:val="auto"/>
        </w:rPr>
      </w:pPr>
    </w:p>
    <w:p>
      <w:pPr>
        <w:jc w:val="both"/>
        <w:ind w:left="80" w:right="79"/>
        <w:spacing w:after="0" w:line="276" w:lineRule="auto"/>
        <w:rPr>
          <w:sz w:val="20"/>
          <w:szCs w:val="20"/>
          <w:color w:val="auto"/>
        </w:rPr>
      </w:pPr>
      <w:r>
        <w:rPr>
          <w:rFonts w:ascii="Arial" w:cs="Arial" w:eastAsia="Arial" w:hAnsi="Arial"/>
          <w:sz w:val="18"/>
          <w:szCs w:val="18"/>
          <w:color w:val="auto"/>
        </w:rPr>
        <w:t>During the fiscal year ended December 31, 2020, the aggregate amount of variable cash compensation paid by the Bank to its current executive officers for their services was $2,357,570.</w:t>
      </w:r>
    </w:p>
    <w:p>
      <w:pPr>
        <w:spacing w:after="0" w:line="77" w:lineRule="exact"/>
        <w:rPr>
          <w:sz w:val="20"/>
          <w:szCs w:val="20"/>
          <w:color w:val="auto"/>
        </w:rPr>
      </w:pPr>
    </w:p>
    <w:p>
      <w:pPr>
        <w:jc w:val="both"/>
        <w:ind w:left="80" w:right="79"/>
        <w:spacing w:after="0" w:line="248" w:lineRule="auto"/>
        <w:rPr>
          <w:sz w:val="20"/>
          <w:szCs w:val="20"/>
          <w:color w:val="auto"/>
        </w:rPr>
      </w:pPr>
      <w:r>
        <w:rPr>
          <w:rFonts w:ascii="Arial" w:cs="Arial" w:eastAsia="Arial" w:hAnsi="Arial"/>
          <w:sz w:val="18"/>
          <w:szCs w:val="18"/>
          <w:color w:val="auto"/>
        </w:rPr>
        <w:t>In February 2008, the Board approved the 2008 Stock Incentive Plan (as amended, the “2008 Plan”), which allows the Bank, from time to time, to grant restricted shares, restricted stock units, stock options and/or other stock-based awards to the directors, executive officers and non-executive employees of the Bank. This plan was revised in October 2015 and amended and restated as the 2015 Stock Incentive Plan (“2015 Plan”).</w:t>
      </w:r>
    </w:p>
    <w:p>
      <w:pPr>
        <w:spacing w:after="0" w:line="103" w:lineRule="exact"/>
        <w:rPr>
          <w:sz w:val="20"/>
          <w:szCs w:val="20"/>
          <w:color w:val="auto"/>
        </w:rPr>
      </w:pPr>
    </w:p>
    <w:p>
      <w:pPr>
        <w:jc w:val="both"/>
        <w:ind w:left="80" w:right="79"/>
        <w:spacing w:after="0" w:line="243" w:lineRule="auto"/>
        <w:rPr>
          <w:sz w:val="20"/>
          <w:szCs w:val="20"/>
          <w:color w:val="auto"/>
        </w:rPr>
      </w:pPr>
      <w:r>
        <w:rPr>
          <w:rFonts w:ascii="Arial" w:cs="Arial" w:eastAsia="Arial" w:hAnsi="Arial"/>
          <w:sz w:val="18"/>
          <w:szCs w:val="18"/>
          <w:color w:val="auto"/>
        </w:rPr>
        <w:t>On February 7, 2020, the Bank granted to current executive officers 51,829 restricted stock units corresponding to 2019 performance. These restricted stock units vest 25% of the amount granted per year, with the first vesting on February 7, 2021, and the subsequent vestings on each anniversary of the first vesting date. As of December 31, 2020, the compensation cost charged against the Bank’s 2020 income in connection with these restricted stock units was $440,296. The total remaining compensation cost of $462,134 will be charged over a period of 3.1 years.</w:t>
      </w:r>
    </w:p>
    <w:p>
      <w:pPr>
        <w:spacing w:after="0" w:line="93" w:lineRule="exact"/>
        <w:rPr>
          <w:sz w:val="20"/>
          <w:szCs w:val="20"/>
          <w:color w:val="auto"/>
        </w:rPr>
      </w:pPr>
    </w:p>
    <w:p>
      <w:pPr>
        <w:jc w:val="both"/>
        <w:ind w:left="80" w:right="79"/>
        <w:spacing w:after="0" w:line="248" w:lineRule="auto"/>
        <w:rPr>
          <w:sz w:val="20"/>
          <w:szCs w:val="20"/>
          <w:color w:val="auto"/>
        </w:rPr>
      </w:pPr>
      <w:r>
        <w:rPr>
          <w:rFonts w:ascii="Arial" w:cs="Arial" w:eastAsia="Arial" w:hAnsi="Arial"/>
          <w:sz w:val="18"/>
          <w:szCs w:val="18"/>
          <w:color w:val="auto"/>
        </w:rPr>
        <w:t>The Bank sponsors a defined contribution plan for its expatriate officers. The Bank’s contributions are determined as a percentage of the eligible officer’s annual salary, with each officer contributing an additional amount withheld from his salary. All contributions are administered by a trust through an independent third party. During 2020, the Bank charged to salaries expense $70,733 with respect to the contribution plan.</w:t>
      </w:r>
    </w:p>
    <w:p>
      <w:pPr>
        <w:spacing w:after="0" w:line="211"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2020 Chief Executive Officer Compensation</w:t>
      </w:r>
    </w:p>
    <w:p>
      <w:pPr>
        <w:spacing w:after="0" w:line="139" w:lineRule="exact"/>
        <w:rPr>
          <w:sz w:val="20"/>
          <w:szCs w:val="20"/>
          <w:color w:val="auto"/>
        </w:rPr>
      </w:pPr>
    </w:p>
    <w:p>
      <w:pPr>
        <w:jc w:val="both"/>
        <w:ind w:left="80" w:right="79"/>
        <w:spacing w:after="0" w:line="255" w:lineRule="auto"/>
        <w:rPr>
          <w:sz w:val="20"/>
          <w:szCs w:val="20"/>
          <w:color w:val="auto"/>
        </w:rPr>
      </w:pPr>
      <w:r>
        <w:rPr>
          <w:rFonts w:ascii="Arial" w:cs="Arial" w:eastAsia="Arial" w:hAnsi="Arial"/>
          <w:sz w:val="18"/>
          <w:szCs w:val="18"/>
          <w:color w:val="auto"/>
        </w:rPr>
        <w:t>The Bank´s current Chief Executive Officer’s compensation for 2020 included an annual base salary of $500,000, a signing bonus of $300,000, and limited perquisites and other benefits amounting to $19,690. The Chief Executive Officer is eligible to receive a severance payment of $1,000,000 upon his departure.</w:t>
      </w:r>
    </w:p>
    <w:p>
      <w:pPr>
        <w:spacing w:after="0" w:line="96" w:lineRule="exact"/>
        <w:rPr>
          <w:sz w:val="20"/>
          <w:szCs w:val="20"/>
          <w:color w:val="auto"/>
        </w:rPr>
      </w:pPr>
    </w:p>
    <w:p>
      <w:pPr>
        <w:jc w:val="both"/>
        <w:ind w:left="80" w:right="79"/>
        <w:spacing w:after="0" w:line="245" w:lineRule="auto"/>
        <w:rPr>
          <w:sz w:val="20"/>
          <w:szCs w:val="20"/>
          <w:color w:val="auto"/>
        </w:rPr>
      </w:pPr>
      <w:r>
        <w:rPr>
          <w:rFonts w:ascii="Arial" w:cs="Arial" w:eastAsia="Arial" w:hAnsi="Arial"/>
          <w:sz w:val="18"/>
          <w:szCs w:val="18"/>
          <w:color w:val="auto"/>
        </w:rPr>
        <w:t>The compensation of the Bank’s former Chief Executive Officer up to March 9, 2020 included an annual base salary of $350,000, a performance-based cash bonus of $1,050,000, an aggregate of $2,333 related to the former Chief Executive Officer’s contribution plan, and limited perquisites and other benefits amounting to $1,557. In addition, the former Chief Executive Officer received a severance payment of $350,000 and other moving expenses totaling $28,567.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123825</wp:posOffset>
            </wp:positionV>
            <wp:extent cx="5623560" cy="88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209550</wp:posOffset>
            </wp:positionV>
            <wp:extent cx="411480" cy="18034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26" w:lineRule="exact"/>
        <w:rPr>
          <w:sz w:val="20"/>
          <w:szCs w:val="20"/>
          <w:color w:val="auto"/>
        </w:rPr>
      </w:pPr>
    </w:p>
    <w:p>
      <w:pPr>
        <w:ind w:left="6600"/>
        <w:spacing w:after="0"/>
        <w:tabs>
          <w:tab w:leader="none" w:pos="8720" w:val="left"/>
        </w:tabs>
        <w:rPr>
          <w:sz w:val="20"/>
          <w:szCs w:val="20"/>
          <w:color w:val="auto"/>
        </w:rPr>
      </w:pPr>
      <w:r>
        <w:rPr>
          <w:rFonts w:ascii="Arial" w:cs="Arial" w:eastAsia="Arial" w:hAnsi="Arial"/>
          <w:sz w:val="18"/>
          <w:szCs w:val="18"/>
          <w:b w:val="1"/>
          <w:bCs w:val="1"/>
          <w:color w:val="auto"/>
        </w:rPr>
        <w:t>Proxy Statement 2021</w:t>
      </w:r>
      <w:r>
        <w:rPr>
          <w:sz w:val="20"/>
          <w:szCs w:val="20"/>
          <w:color w:val="auto"/>
        </w:rPr>
        <w:tab/>
      </w:r>
      <w:r>
        <w:rPr>
          <w:rFonts w:ascii="Arial" w:cs="Arial" w:eastAsia="Arial" w:hAnsi="Arial"/>
          <w:sz w:val="17"/>
          <w:szCs w:val="17"/>
          <w:b w:val="1"/>
          <w:bCs w:val="1"/>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30" w:name="page31"/>
    <w:bookmarkEnd w:id="30"/>
    <w:p>
      <w:pPr>
        <w:ind w:left="80" w:right="539"/>
        <w:spacing w:after="0" w:line="251" w:lineRule="auto"/>
        <w:rPr>
          <w:sz w:val="20"/>
          <w:szCs w:val="20"/>
          <w:color w:val="auto"/>
        </w:rPr>
      </w:pPr>
      <w:r>
        <w:rPr>
          <w:rFonts w:ascii="Arial" w:cs="Arial" w:eastAsia="Arial" w:hAnsi="Arial"/>
          <w:sz w:val="22"/>
          <w:szCs w:val="22"/>
          <w:color w:val="0065C1"/>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182880</wp:posOffset>
            </wp:positionV>
            <wp:extent cx="5623560" cy="825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394"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Results of the 2020 Advisory Vote on Compensation of Executive Officers</w:t>
      </w:r>
    </w:p>
    <w:p>
      <w:pPr>
        <w:spacing w:after="0" w:line="152"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At the Company’s annual meeting of shareholders held on April 29, 2020, our shareholders were asked to approve, on an advisory basis, the Bank's fiscal year 2019 executive officers’ compensation programs (commonly referred to as the “say on pay” proposal). A substantial majority (93.85%) of the votes cast on the say-on-pay proposal at that meeting were voted in favor of the proposal. The Compensation Committee believes that these results affirm our shareholders’ support for the Bank’s approach to executive compensation, and therefore did not change its approach in fiscal year 2020. The Compensation Committee will continue working to ensure that the design of the Bank’s executive officers’ compensation program is focused on long-term shareholder value creation and emphasizes pay for performance.</w:t>
      </w:r>
    </w:p>
    <w:p>
      <w:pPr>
        <w:spacing w:after="0" w:line="194"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Compensation and Risk</w:t>
      </w:r>
    </w:p>
    <w:p>
      <w:pPr>
        <w:spacing w:after="0" w:line="152" w:lineRule="exact"/>
        <w:rPr>
          <w:sz w:val="20"/>
          <w:szCs w:val="20"/>
          <w:color w:val="auto"/>
        </w:rPr>
      </w:pPr>
    </w:p>
    <w:p>
      <w:pPr>
        <w:jc w:val="both"/>
        <w:ind w:left="80" w:right="99"/>
        <w:spacing w:after="0" w:line="255" w:lineRule="auto"/>
        <w:rPr>
          <w:sz w:val="20"/>
          <w:szCs w:val="20"/>
          <w:color w:val="auto"/>
        </w:rPr>
      </w:pPr>
      <w:r>
        <w:rPr>
          <w:rFonts w:ascii="Arial" w:cs="Arial" w:eastAsia="Arial" w:hAnsi="Arial"/>
          <w:sz w:val="18"/>
          <w:szCs w:val="18"/>
          <w:color w:val="auto"/>
        </w:rPr>
        <w:t>The Bank reviews and monitors the extent to which compensation practices and programs for senior executives and employees whose activities, individually or as a group, may create incentives for excessive risk taking.</w:t>
      </w:r>
    </w:p>
    <w:p>
      <w:pPr>
        <w:spacing w:after="0" w:line="96" w:lineRule="exact"/>
        <w:rPr>
          <w:sz w:val="20"/>
          <w:szCs w:val="20"/>
          <w:color w:val="auto"/>
        </w:rPr>
      </w:pPr>
    </w:p>
    <w:p>
      <w:pPr>
        <w:jc w:val="both"/>
        <w:ind w:left="80" w:right="79"/>
        <w:spacing w:after="0" w:line="243" w:lineRule="auto"/>
        <w:rPr>
          <w:sz w:val="20"/>
          <w:szCs w:val="20"/>
          <w:color w:val="auto"/>
        </w:rPr>
      </w:pPr>
      <w:r>
        <w:rPr>
          <w:rFonts w:ascii="Arial" w:cs="Arial" w:eastAsia="Arial" w:hAnsi="Arial"/>
          <w:sz w:val="18"/>
          <w:szCs w:val="18"/>
          <w:color w:val="auto"/>
        </w:rPr>
        <w:t>In light of the actions referred to above, the Bank and the Board have not identified any risks arising from the Bank’s compensation policies and practices that are reasonably likely to have a material adverse effect on the Bank. Furthermore, certain aspects of the Bank’s executive compensation programs, such as the combination of performance-based short-term cash bonuses and performance-based long-term equity awards, reduce the likelihood of excessive risk-taking, and instead create incentives for senior executives to work for long-term growth of the Bank.</w:t>
      </w:r>
    </w:p>
    <w:p>
      <w:pPr>
        <w:spacing w:after="0" w:line="187"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Board of Directors Compensation</w:t>
      </w:r>
    </w:p>
    <w:p>
      <w:pPr>
        <w:spacing w:after="0" w:line="152" w:lineRule="exact"/>
        <w:rPr>
          <w:sz w:val="20"/>
          <w:szCs w:val="20"/>
          <w:color w:val="auto"/>
        </w:rPr>
      </w:pPr>
    </w:p>
    <w:p>
      <w:pPr>
        <w:jc w:val="both"/>
        <w:ind w:left="80" w:right="79"/>
        <w:spacing w:after="0" w:line="276" w:lineRule="auto"/>
        <w:rPr>
          <w:sz w:val="20"/>
          <w:szCs w:val="20"/>
          <w:color w:val="auto"/>
        </w:rPr>
      </w:pPr>
      <w:r>
        <w:rPr>
          <w:rFonts w:ascii="Arial" w:cs="Arial" w:eastAsia="Arial" w:hAnsi="Arial"/>
          <w:sz w:val="18"/>
          <w:szCs w:val="18"/>
          <w:color w:val="auto"/>
        </w:rPr>
        <w:t>Each non-employee Director of the Bank receives an annual cash retainer of $85,000 for his or her services as a Director and the Chairman of the Board receives an annual cash retainer in the amount of $135,000.</w:t>
      </w:r>
    </w:p>
    <w:p>
      <w:pPr>
        <w:spacing w:after="0" w:line="77" w:lineRule="exact"/>
        <w:rPr>
          <w:sz w:val="20"/>
          <w:szCs w:val="20"/>
          <w:color w:val="auto"/>
        </w:rPr>
      </w:pPr>
    </w:p>
    <w:p>
      <w:pPr>
        <w:jc w:val="both"/>
        <w:ind w:left="80" w:right="79"/>
        <w:spacing w:after="0" w:line="243" w:lineRule="auto"/>
        <w:rPr>
          <w:sz w:val="20"/>
          <w:szCs w:val="20"/>
          <w:color w:val="auto"/>
        </w:rPr>
      </w:pPr>
      <w:r>
        <w:rPr>
          <w:rFonts w:ascii="Arial" w:cs="Arial" w:eastAsia="Arial" w:hAnsi="Arial"/>
          <w:sz w:val="18"/>
          <w:szCs w:val="18"/>
          <w:color w:val="auto"/>
        </w:rPr>
        <w:t>The Chairman of the Audit Committee receives an additional annual retainer of $8,500 and the Chairmen of each of the Compensation Committee, Risk Policy and Assessment Committee, Finance and Business Committee, and Compliance and Anti-Money Laundering Committee each receives an additional annual retainer of $ 5,000. The non-Chairman members of the Audit Committee receive an additional annual retainer of $3,000 and each member of the Board receives an additional annual retainer of $8,500 for his or her participation in excess of two Committees.</w:t>
      </w:r>
    </w:p>
    <w:p>
      <w:pPr>
        <w:spacing w:after="0" w:line="93" w:lineRule="exact"/>
        <w:rPr>
          <w:sz w:val="20"/>
          <w:szCs w:val="20"/>
          <w:color w:val="auto"/>
        </w:rPr>
      </w:pPr>
    </w:p>
    <w:p>
      <w:pPr>
        <w:jc w:val="both"/>
        <w:ind w:left="80" w:right="99"/>
        <w:spacing w:after="0" w:line="276" w:lineRule="auto"/>
        <w:rPr>
          <w:sz w:val="20"/>
          <w:szCs w:val="20"/>
          <w:color w:val="auto"/>
        </w:rPr>
      </w:pPr>
      <w:r>
        <w:rPr>
          <w:rFonts w:ascii="Arial" w:cs="Arial" w:eastAsia="Arial" w:hAnsi="Arial"/>
          <w:sz w:val="18"/>
          <w:szCs w:val="18"/>
          <w:color w:val="auto"/>
        </w:rPr>
        <w:t>The aggregate amount of cash compensation paid by the Bank during the year ended December 31, 2020 to the Directors of the Bank as a group for their services as Directors was $950,375.</w:t>
      </w:r>
    </w:p>
    <w:p>
      <w:pPr>
        <w:spacing w:after="0" w:line="77" w:lineRule="exact"/>
        <w:rPr>
          <w:sz w:val="20"/>
          <w:szCs w:val="20"/>
          <w:color w:val="auto"/>
        </w:rPr>
      </w:pPr>
    </w:p>
    <w:p>
      <w:pPr>
        <w:jc w:val="both"/>
        <w:ind w:left="80" w:right="79"/>
        <w:spacing w:after="0" w:line="255" w:lineRule="auto"/>
        <w:rPr>
          <w:sz w:val="20"/>
          <w:szCs w:val="20"/>
          <w:color w:val="auto"/>
        </w:rPr>
      </w:pPr>
      <w:r>
        <w:rPr>
          <w:rFonts w:ascii="Arial" w:cs="Arial" w:eastAsia="Arial" w:hAnsi="Arial"/>
          <w:sz w:val="18"/>
          <w:szCs w:val="18"/>
          <w:color w:val="auto"/>
        </w:rPr>
        <w:t>As approved by the Board of Directors on December 9, 2014, each non-employee director of the Bank receives an annual equity compensation of 6,000 restricted shares and the Chairman of the Board receives an annual equity compensation of 9,000 restricted shares, granted once a year under the 2015 Plan.</w:t>
      </w:r>
    </w:p>
    <w:p>
      <w:pPr>
        <w:spacing w:after="0" w:line="96" w:lineRule="exact"/>
        <w:rPr>
          <w:sz w:val="20"/>
          <w:szCs w:val="20"/>
          <w:color w:val="auto"/>
        </w:rPr>
      </w:pPr>
    </w:p>
    <w:p>
      <w:pPr>
        <w:jc w:val="both"/>
        <w:ind w:left="80" w:right="99"/>
        <w:spacing w:after="0" w:line="243" w:lineRule="auto"/>
        <w:rPr>
          <w:sz w:val="20"/>
          <w:szCs w:val="20"/>
          <w:color w:val="auto"/>
        </w:rPr>
      </w:pPr>
      <w:r>
        <w:rPr>
          <w:rFonts w:ascii="Arial" w:cs="Arial" w:eastAsia="Arial" w:hAnsi="Arial"/>
          <w:sz w:val="18"/>
          <w:szCs w:val="18"/>
          <w:color w:val="auto"/>
        </w:rPr>
        <w:t>During the fiscal year ended December 31, 2020, the aggregate number of restricted shares awarded to non-employee directors of the Bank as a group under the 2015 Plan was 63,000 Class E shares. These restricted shares vest 35% on each of the first and second anniversaries of the award date, and 30% on the third anniversary of the award date. As of December 31, 2020, the total cost for these restricted shares amounted to $727,020 of which $306,245 was registered during 2020, and the remaining compensation cost of $420,775 for these restricted shares will be charged against income over a period of 2.3 years.</w:t>
      </w:r>
    </w:p>
    <w:p>
      <w:pPr>
        <w:spacing w:after="0" w:line="187"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Beneficial Ownership</w:t>
      </w:r>
    </w:p>
    <w:p>
      <w:pPr>
        <w:spacing w:after="0" w:line="152" w:lineRule="exact"/>
        <w:rPr>
          <w:sz w:val="20"/>
          <w:szCs w:val="20"/>
          <w:color w:val="auto"/>
        </w:rPr>
      </w:pPr>
    </w:p>
    <w:p>
      <w:pPr>
        <w:jc w:val="both"/>
        <w:ind w:left="80" w:right="79"/>
        <w:spacing w:after="0" w:line="241" w:lineRule="auto"/>
        <w:rPr>
          <w:sz w:val="20"/>
          <w:szCs w:val="20"/>
          <w:color w:val="auto"/>
        </w:rPr>
      </w:pPr>
      <w:r>
        <w:rPr>
          <w:rFonts w:ascii="Arial" w:cs="Arial" w:eastAsia="Arial" w:hAnsi="Arial"/>
          <w:sz w:val="18"/>
          <w:szCs w:val="18"/>
          <w:color w:val="auto"/>
        </w:rPr>
        <w:t>As of December 31, 2020, the Bank’s Executive Officers and Directors, as a group, beneficially owned an aggregate of 360,704 Class E shares, representing approximately 1% (based on 31,157,386 Class E shares outstanding as of December 31, 2020) of all issued and outstanding Class E shares as of such date. “Beneficial ownership”, as the term is used in this section, means the sole or shared power to vote or direct the voting or to dispose or direct the disposition of any security. A person is deemed to be the beneficial owner of securities that can be acquired within 60 days from December 31, 2020 through the exercise of any option or through the vesting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127635</wp:posOffset>
            </wp:positionV>
            <wp:extent cx="5623560" cy="8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213360</wp:posOffset>
            </wp:positionV>
            <wp:extent cx="411480" cy="18034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32"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24</w:t>
        <w:tab/>
        <w:t>Proxy Statement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31" w:name="page32"/>
    <w:bookmarkEnd w:id="31"/>
    <w:p>
      <w:pPr>
        <w:jc w:val="right"/>
        <w:ind w:left="520" w:right="79"/>
        <w:spacing w:after="0" w:line="251" w:lineRule="auto"/>
        <w:rPr>
          <w:sz w:val="20"/>
          <w:szCs w:val="20"/>
          <w:color w:val="auto"/>
        </w:rPr>
      </w:pPr>
      <w:r>
        <w:rPr>
          <w:rFonts w:ascii="Arial" w:cs="Arial" w:eastAsia="Arial" w:hAnsi="Arial"/>
          <w:sz w:val="22"/>
          <w:szCs w:val="22"/>
          <w:color w:val="0065C1"/>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182880</wp:posOffset>
            </wp:positionV>
            <wp:extent cx="5623560" cy="825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381" w:lineRule="exact"/>
        <w:rPr>
          <w:sz w:val="20"/>
          <w:szCs w:val="20"/>
          <w:color w:val="auto"/>
        </w:rPr>
      </w:pPr>
    </w:p>
    <w:p>
      <w:pPr>
        <w:jc w:val="both"/>
        <w:ind w:left="80" w:right="79"/>
        <w:spacing w:after="0" w:line="245" w:lineRule="auto"/>
        <w:rPr>
          <w:sz w:val="20"/>
          <w:szCs w:val="20"/>
          <w:color w:val="auto"/>
        </w:rPr>
      </w:pPr>
      <w:r>
        <w:rPr>
          <w:rFonts w:ascii="Arial" w:cs="Arial" w:eastAsia="Arial" w:hAnsi="Arial"/>
          <w:sz w:val="18"/>
          <w:szCs w:val="18"/>
          <w:color w:val="auto"/>
        </w:rPr>
        <w:t>of any restricted stock or restricted stock units. Ordinary shares subject to options that are currently exercisable or exercisable within 60 days, or that constitute restricted stock or restricted stock units that will vest within 60 days, are deemed outstanding for computing the beneficial ownership percentage of the person holding such options, restricted stock or restricted stock units, but are not deemed outstanding for computing the ownership percentage of any other person.</w:t>
      </w:r>
    </w:p>
    <w:p>
      <w:pPr>
        <w:spacing w:after="0" w:line="105" w:lineRule="exact"/>
        <w:rPr>
          <w:sz w:val="20"/>
          <w:szCs w:val="20"/>
          <w:color w:val="auto"/>
        </w:rPr>
      </w:pPr>
    </w:p>
    <w:p>
      <w:pPr>
        <w:jc w:val="both"/>
        <w:ind w:left="80" w:right="79"/>
        <w:spacing w:after="0" w:line="243" w:lineRule="auto"/>
        <w:rPr>
          <w:sz w:val="20"/>
          <w:szCs w:val="20"/>
          <w:color w:val="auto"/>
        </w:rPr>
      </w:pPr>
      <w:r>
        <w:rPr>
          <w:rFonts w:ascii="Arial" w:cs="Arial" w:eastAsia="Arial" w:hAnsi="Arial"/>
          <w:sz w:val="18"/>
          <w:szCs w:val="18"/>
          <w:color w:val="auto"/>
        </w:rPr>
        <w:t>The following table sets forth information regarding beneficial ownership of the Bank’s Class E shares, including restricted stock units and holdings of unvested stock options and unvested restricted stock units by the Bank’s executive officers eligible to receive restricted stock units as of December 31, 2020. Except where noted, all holders listed below have sole voting power and investment power over the shares beneficially owned by them. Unless otherwise noted, the address of each person listed below is c/o Torre V, Business Park, Avenida La Rotonda, Urbanización Costa del Este, Panama, Republic of Panama.</w:t>
      </w:r>
    </w:p>
    <w:p>
      <w:pPr>
        <w:spacing w:after="0" w:line="129" w:lineRule="exact"/>
        <w:rPr>
          <w:sz w:val="20"/>
          <w:szCs w:val="20"/>
          <w:color w:val="auto"/>
        </w:rPr>
      </w:pPr>
    </w:p>
    <w:tbl>
      <w:tblPr>
        <w:tblLayout w:type="fixed"/>
        <w:tblInd w:w="80" w:type="dxa"/>
        <w:tblCellMar>
          <w:top w:w="0" w:type="dxa"/>
          <w:left w:w="0" w:type="dxa"/>
          <w:bottom w:w="0" w:type="dxa"/>
          <w:right w:w="0" w:type="dxa"/>
        </w:tblCellMar>
      </w:tblPr>
      <w:tr>
        <w:trPr>
          <w:trHeight w:val="277"/>
        </w:trPr>
        <w:tc>
          <w:tcPr>
            <w:tcW w:w="2260" w:type="dxa"/>
            <w:vAlign w:val="bottom"/>
            <w:shd w:val="clear" w:color="auto" w:fill="0065C1"/>
          </w:tcPr>
          <w:p>
            <w:pPr>
              <w:spacing w:after="0"/>
              <w:rPr>
                <w:sz w:val="24"/>
                <w:szCs w:val="24"/>
                <w:color w:val="auto"/>
              </w:rPr>
            </w:pPr>
          </w:p>
        </w:tc>
        <w:tc>
          <w:tcPr>
            <w:tcW w:w="1500" w:type="dxa"/>
            <w:vAlign w:val="bottom"/>
            <w:shd w:val="clear" w:color="auto" w:fill="0065C1"/>
          </w:tcPr>
          <w:p>
            <w:pPr>
              <w:spacing w:after="0"/>
              <w:rPr>
                <w:sz w:val="24"/>
                <w:szCs w:val="24"/>
                <w:color w:val="auto"/>
              </w:rPr>
            </w:pPr>
          </w:p>
        </w:tc>
        <w:tc>
          <w:tcPr>
            <w:tcW w:w="16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Number of</w:t>
            </w:r>
          </w:p>
        </w:tc>
        <w:tc>
          <w:tcPr>
            <w:tcW w:w="1200" w:type="dxa"/>
            <w:vAlign w:val="bottom"/>
            <w:shd w:val="clear" w:color="auto" w:fill="0065C1"/>
          </w:tcPr>
          <w:p>
            <w:pPr>
              <w:spacing w:after="0"/>
              <w:rPr>
                <w:sz w:val="24"/>
                <w:szCs w:val="24"/>
                <w:color w:val="auto"/>
              </w:rPr>
            </w:pPr>
          </w:p>
        </w:tc>
        <w:tc>
          <w:tcPr>
            <w:tcW w:w="1140" w:type="dxa"/>
            <w:vAlign w:val="bottom"/>
            <w:shd w:val="clear" w:color="auto" w:fill="0065C1"/>
          </w:tcPr>
          <w:p>
            <w:pPr>
              <w:spacing w:after="0"/>
              <w:rPr>
                <w:sz w:val="24"/>
                <w:szCs w:val="24"/>
                <w:color w:val="auto"/>
              </w:rPr>
            </w:pPr>
          </w:p>
        </w:tc>
        <w:tc>
          <w:tcPr>
            <w:tcW w:w="1140" w:type="dxa"/>
            <w:vAlign w:val="bottom"/>
            <w:shd w:val="clear" w:color="auto" w:fill="0065C1"/>
          </w:tcPr>
          <w:p>
            <w:pPr>
              <w:spacing w:after="0"/>
              <w:rPr>
                <w:sz w:val="24"/>
                <w:szCs w:val="24"/>
                <w:color w:val="auto"/>
              </w:rPr>
            </w:pPr>
          </w:p>
        </w:tc>
      </w:tr>
      <w:tr>
        <w:trPr>
          <w:trHeight w:val="189"/>
        </w:trPr>
        <w:tc>
          <w:tcPr>
            <w:tcW w:w="2260" w:type="dxa"/>
            <w:vAlign w:val="bottom"/>
            <w:shd w:val="clear" w:color="auto" w:fill="0065C1"/>
          </w:tcPr>
          <w:p>
            <w:pPr>
              <w:spacing w:after="0"/>
              <w:rPr>
                <w:sz w:val="16"/>
                <w:szCs w:val="16"/>
                <w:color w:val="auto"/>
              </w:rPr>
            </w:pPr>
          </w:p>
        </w:tc>
        <w:tc>
          <w:tcPr>
            <w:tcW w:w="1500" w:type="dxa"/>
            <w:vAlign w:val="bottom"/>
            <w:shd w:val="clear" w:color="auto" w:fill="0065C1"/>
          </w:tcPr>
          <w:p>
            <w:pPr>
              <w:spacing w:after="0"/>
              <w:rPr>
                <w:sz w:val="16"/>
                <w:szCs w:val="16"/>
                <w:color w:val="auto"/>
              </w:rPr>
            </w:pPr>
          </w:p>
        </w:tc>
        <w:tc>
          <w:tcPr>
            <w:tcW w:w="16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Shares that may</w:t>
            </w:r>
          </w:p>
        </w:tc>
        <w:tc>
          <w:tcPr>
            <w:tcW w:w="12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4"/>
              </w:rPr>
              <w:t>Total</w:t>
            </w:r>
          </w:p>
        </w:tc>
        <w:tc>
          <w:tcPr>
            <w:tcW w:w="1140" w:type="dxa"/>
            <w:vAlign w:val="bottom"/>
            <w:shd w:val="clear" w:color="auto" w:fill="0065C1"/>
          </w:tcPr>
          <w:p>
            <w:pPr>
              <w:spacing w:after="0"/>
              <w:rPr>
                <w:sz w:val="16"/>
                <w:szCs w:val="16"/>
                <w:color w:val="auto"/>
              </w:rPr>
            </w:pPr>
          </w:p>
        </w:tc>
        <w:tc>
          <w:tcPr>
            <w:tcW w:w="1140" w:type="dxa"/>
            <w:vAlign w:val="bottom"/>
            <w:shd w:val="clear" w:color="auto" w:fill="0065C1"/>
          </w:tcPr>
          <w:p>
            <w:pPr>
              <w:spacing w:after="0"/>
              <w:rPr>
                <w:sz w:val="16"/>
                <w:szCs w:val="16"/>
                <w:color w:val="auto"/>
              </w:rPr>
            </w:pPr>
          </w:p>
        </w:tc>
      </w:tr>
      <w:tr>
        <w:trPr>
          <w:trHeight w:val="189"/>
        </w:trPr>
        <w:tc>
          <w:tcPr>
            <w:tcW w:w="2260" w:type="dxa"/>
            <w:vAlign w:val="bottom"/>
            <w:shd w:val="clear" w:color="auto" w:fill="0065C1"/>
          </w:tcPr>
          <w:p>
            <w:pPr>
              <w:spacing w:after="0"/>
              <w:rPr>
                <w:sz w:val="16"/>
                <w:szCs w:val="16"/>
                <w:color w:val="auto"/>
              </w:rPr>
            </w:pPr>
          </w:p>
        </w:tc>
        <w:tc>
          <w:tcPr>
            <w:tcW w:w="15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Number of</w:t>
            </w:r>
          </w:p>
        </w:tc>
        <w:tc>
          <w:tcPr>
            <w:tcW w:w="16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be acquired</w:t>
            </w:r>
          </w:p>
        </w:tc>
        <w:tc>
          <w:tcPr>
            <w:tcW w:w="12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Number of</w:t>
            </w:r>
          </w:p>
        </w:tc>
        <w:tc>
          <w:tcPr>
            <w:tcW w:w="1140" w:type="dxa"/>
            <w:vAlign w:val="bottom"/>
            <w:shd w:val="clear" w:color="auto" w:fill="0065C1"/>
          </w:tcPr>
          <w:p>
            <w:pPr>
              <w:jc w:val="center"/>
              <w:ind w:right="13"/>
              <w:spacing w:after="0"/>
              <w:rPr>
                <w:sz w:val="20"/>
                <w:szCs w:val="20"/>
                <w:color w:val="auto"/>
              </w:rPr>
            </w:pPr>
            <w:r>
              <w:rPr>
                <w:rFonts w:ascii="Arial" w:cs="Arial" w:eastAsia="Arial" w:hAnsi="Arial"/>
                <w:sz w:val="16"/>
                <w:szCs w:val="16"/>
                <w:b w:val="1"/>
                <w:bCs w:val="1"/>
                <w:color w:val="FFFFFF"/>
              </w:rPr>
              <w:t>Percent of</w:t>
            </w:r>
          </w:p>
        </w:tc>
        <w:tc>
          <w:tcPr>
            <w:tcW w:w="114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Unvested</w:t>
            </w:r>
          </w:p>
        </w:tc>
      </w:tr>
      <w:tr>
        <w:trPr>
          <w:trHeight w:val="189"/>
        </w:trPr>
        <w:tc>
          <w:tcPr>
            <w:tcW w:w="2260" w:type="dxa"/>
            <w:vAlign w:val="bottom"/>
            <w:shd w:val="clear" w:color="auto" w:fill="0065C1"/>
          </w:tcPr>
          <w:p>
            <w:pPr>
              <w:spacing w:after="0"/>
              <w:rPr>
                <w:sz w:val="16"/>
                <w:szCs w:val="16"/>
                <w:color w:val="auto"/>
              </w:rPr>
            </w:pPr>
          </w:p>
        </w:tc>
        <w:tc>
          <w:tcPr>
            <w:tcW w:w="15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Shares Owned</w:t>
            </w:r>
          </w:p>
        </w:tc>
        <w:tc>
          <w:tcPr>
            <w:tcW w:w="16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within 60 days</w:t>
            </w:r>
          </w:p>
        </w:tc>
        <w:tc>
          <w:tcPr>
            <w:tcW w:w="12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Shares</w:t>
            </w:r>
          </w:p>
        </w:tc>
        <w:tc>
          <w:tcPr>
            <w:tcW w:w="1140" w:type="dxa"/>
            <w:vAlign w:val="bottom"/>
            <w:shd w:val="clear" w:color="auto" w:fill="0065C1"/>
          </w:tcPr>
          <w:p>
            <w:pPr>
              <w:jc w:val="center"/>
              <w:ind w:right="13"/>
              <w:spacing w:after="0"/>
              <w:rPr>
                <w:sz w:val="20"/>
                <w:szCs w:val="20"/>
                <w:color w:val="auto"/>
              </w:rPr>
            </w:pPr>
            <w:r>
              <w:rPr>
                <w:rFonts w:ascii="Arial" w:cs="Arial" w:eastAsia="Arial" w:hAnsi="Arial"/>
                <w:sz w:val="16"/>
                <w:szCs w:val="16"/>
                <w:b w:val="1"/>
                <w:bCs w:val="1"/>
                <w:color w:val="FFFFFF"/>
              </w:rPr>
              <w:t>Class</w:t>
            </w:r>
          </w:p>
        </w:tc>
        <w:tc>
          <w:tcPr>
            <w:tcW w:w="114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Restricted</w:t>
            </w:r>
          </w:p>
        </w:tc>
      </w:tr>
      <w:tr>
        <w:trPr>
          <w:trHeight w:val="177"/>
        </w:trPr>
        <w:tc>
          <w:tcPr>
            <w:tcW w:w="2260" w:type="dxa"/>
            <w:vAlign w:val="bottom"/>
            <w:shd w:val="clear" w:color="auto" w:fill="0065C1"/>
          </w:tcPr>
          <w:p>
            <w:pPr>
              <w:spacing w:after="0"/>
              <w:rPr>
                <w:sz w:val="15"/>
                <w:szCs w:val="15"/>
                <w:color w:val="auto"/>
              </w:rPr>
            </w:pPr>
          </w:p>
        </w:tc>
        <w:tc>
          <w:tcPr>
            <w:tcW w:w="150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as of Dec. 31,</w:t>
            </w:r>
          </w:p>
        </w:tc>
        <w:tc>
          <w:tcPr>
            <w:tcW w:w="162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as of Dec. 31,</w:t>
            </w:r>
          </w:p>
        </w:tc>
        <w:tc>
          <w:tcPr>
            <w:tcW w:w="1200" w:type="dxa"/>
            <w:vAlign w:val="bottom"/>
            <w:shd w:val="clear" w:color="auto" w:fill="0065C1"/>
          </w:tcPr>
          <w:p>
            <w:pPr>
              <w:jc w:val="center"/>
              <w:ind w:left="13"/>
              <w:spacing w:after="0" w:line="177" w:lineRule="exact"/>
              <w:rPr>
                <w:sz w:val="20"/>
                <w:szCs w:val="20"/>
                <w:color w:val="auto"/>
              </w:rPr>
            </w:pPr>
            <w:r>
              <w:rPr>
                <w:rFonts w:ascii="Arial" w:cs="Arial" w:eastAsia="Arial" w:hAnsi="Arial"/>
                <w:sz w:val="16"/>
                <w:szCs w:val="16"/>
                <w:b w:val="1"/>
                <w:bCs w:val="1"/>
                <w:color w:val="FFFFFF"/>
              </w:rPr>
              <w:t>Beneficially</w:t>
            </w:r>
          </w:p>
        </w:tc>
        <w:tc>
          <w:tcPr>
            <w:tcW w:w="114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Beneficially</w:t>
            </w:r>
          </w:p>
        </w:tc>
        <w:tc>
          <w:tcPr>
            <w:tcW w:w="114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Stock</w:t>
            </w:r>
          </w:p>
        </w:tc>
      </w:tr>
      <w:tr>
        <w:trPr>
          <w:trHeight w:val="275"/>
        </w:trPr>
        <w:tc>
          <w:tcPr>
            <w:tcW w:w="2260" w:type="dxa"/>
            <w:vAlign w:val="bottom"/>
            <w:shd w:val="clear" w:color="auto" w:fill="0065C1"/>
          </w:tcPr>
          <w:p>
            <w:pPr>
              <w:ind w:left="100"/>
              <w:spacing w:after="0"/>
              <w:rPr>
                <w:sz w:val="20"/>
                <w:szCs w:val="20"/>
                <w:color w:val="auto"/>
              </w:rPr>
            </w:pPr>
            <w:r>
              <w:rPr>
                <w:rFonts w:ascii="Arial" w:cs="Arial" w:eastAsia="Arial" w:hAnsi="Arial"/>
                <w:sz w:val="16"/>
                <w:szCs w:val="16"/>
                <w:b w:val="1"/>
                <w:bCs w:val="1"/>
                <w:color w:val="FFFFFF"/>
              </w:rPr>
              <w:t>Name</w:t>
            </w:r>
          </w:p>
        </w:tc>
        <w:tc>
          <w:tcPr>
            <w:tcW w:w="1500" w:type="dxa"/>
            <w:vAlign w:val="bottom"/>
            <w:shd w:val="clear" w:color="auto" w:fill="0065C1"/>
          </w:tcPr>
          <w:p>
            <w:pPr>
              <w:jc w:val="right"/>
              <w:ind w:right="413"/>
              <w:spacing w:after="0" w:line="275" w:lineRule="exact"/>
              <w:rPr>
                <w:sz w:val="20"/>
                <w:szCs w:val="20"/>
                <w:color w:val="auto"/>
              </w:rPr>
            </w:pPr>
            <w:r>
              <w:rPr>
                <w:rFonts w:ascii="Arial" w:cs="Arial" w:eastAsia="Arial" w:hAnsi="Arial"/>
                <w:sz w:val="16"/>
                <w:szCs w:val="16"/>
                <w:b w:val="1"/>
                <w:bCs w:val="1"/>
                <w:color w:val="FFFFFF"/>
              </w:rPr>
              <w:t>2020</w:t>
            </w:r>
            <w:r>
              <w:rPr>
                <w:rFonts w:ascii="Arial" w:cs="Arial" w:eastAsia="Arial" w:hAnsi="Arial"/>
                <w:sz w:val="26"/>
                <w:szCs w:val="26"/>
                <w:b w:val="1"/>
                <w:bCs w:val="1"/>
                <w:color w:val="FFFFFF"/>
                <w:vertAlign w:val="superscript"/>
              </w:rPr>
              <w:t>(1)</w:t>
            </w:r>
          </w:p>
        </w:tc>
        <w:tc>
          <w:tcPr>
            <w:tcW w:w="1620" w:type="dxa"/>
            <w:vAlign w:val="bottom"/>
            <w:shd w:val="clear" w:color="auto" w:fill="0065C1"/>
          </w:tcPr>
          <w:p>
            <w:pPr>
              <w:jc w:val="right"/>
              <w:ind w:right="454"/>
              <w:spacing w:after="0" w:line="275" w:lineRule="exact"/>
              <w:rPr>
                <w:sz w:val="20"/>
                <w:szCs w:val="20"/>
                <w:color w:val="auto"/>
              </w:rPr>
            </w:pPr>
            <w:r>
              <w:rPr>
                <w:rFonts w:ascii="Arial" w:cs="Arial" w:eastAsia="Arial" w:hAnsi="Arial"/>
                <w:sz w:val="16"/>
                <w:szCs w:val="16"/>
                <w:b w:val="1"/>
                <w:bCs w:val="1"/>
                <w:color w:val="FFFFFF"/>
              </w:rPr>
              <w:t>2020</w:t>
            </w:r>
            <w:r>
              <w:rPr>
                <w:rFonts w:ascii="Arial" w:cs="Arial" w:eastAsia="Arial" w:hAnsi="Arial"/>
                <w:sz w:val="26"/>
                <w:szCs w:val="26"/>
                <w:b w:val="1"/>
                <w:bCs w:val="1"/>
                <w:color w:val="FFFFFF"/>
                <w:vertAlign w:val="superscript"/>
              </w:rPr>
              <w:t>(2)</w:t>
            </w:r>
          </w:p>
        </w:tc>
        <w:tc>
          <w:tcPr>
            <w:tcW w:w="1200" w:type="dxa"/>
            <w:vAlign w:val="bottom"/>
            <w:shd w:val="clear" w:color="auto" w:fill="0065C1"/>
          </w:tcPr>
          <w:p>
            <w:pPr>
              <w:jc w:val="center"/>
              <w:ind w:left="13"/>
              <w:spacing w:after="0"/>
              <w:rPr>
                <w:sz w:val="20"/>
                <w:szCs w:val="20"/>
                <w:color w:val="auto"/>
              </w:rPr>
            </w:pPr>
            <w:r>
              <w:rPr>
                <w:rFonts w:ascii="Arial" w:cs="Arial" w:eastAsia="Arial" w:hAnsi="Arial"/>
                <w:sz w:val="16"/>
                <w:szCs w:val="16"/>
                <w:b w:val="1"/>
                <w:bCs w:val="1"/>
                <w:color w:val="FFFFFF"/>
              </w:rPr>
              <w:t>Owned</w:t>
            </w:r>
          </w:p>
        </w:tc>
        <w:tc>
          <w:tcPr>
            <w:tcW w:w="114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Owned</w:t>
            </w:r>
          </w:p>
        </w:tc>
        <w:tc>
          <w:tcPr>
            <w:tcW w:w="1140" w:type="dxa"/>
            <w:vAlign w:val="bottom"/>
            <w:shd w:val="clear" w:color="auto" w:fill="0065C1"/>
          </w:tcPr>
          <w:p>
            <w:pPr>
              <w:jc w:val="center"/>
              <w:spacing w:after="0" w:line="275" w:lineRule="exact"/>
              <w:rPr>
                <w:sz w:val="20"/>
                <w:szCs w:val="20"/>
                <w:color w:val="auto"/>
              </w:rPr>
            </w:pPr>
            <w:r>
              <w:rPr>
                <w:rFonts w:ascii="Arial" w:cs="Arial" w:eastAsia="Arial" w:hAnsi="Arial"/>
                <w:sz w:val="16"/>
                <w:szCs w:val="16"/>
                <w:b w:val="1"/>
                <w:bCs w:val="1"/>
                <w:color w:val="FFFFFF"/>
                <w:w w:val="91"/>
              </w:rPr>
              <w:t>Units</w:t>
            </w:r>
            <w:r>
              <w:rPr>
                <w:rFonts w:ascii="Arial" w:cs="Arial" w:eastAsia="Arial" w:hAnsi="Arial"/>
                <w:sz w:val="26"/>
                <w:szCs w:val="26"/>
                <w:b w:val="1"/>
                <w:bCs w:val="1"/>
                <w:color w:val="FFFFFF"/>
                <w:w w:val="91"/>
                <w:vertAlign w:val="superscript"/>
              </w:rPr>
              <w:t>(3)</w:t>
            </w:r>
          </w:p>
        </w:tc>
      </w:tr>
      <w:tr>
        <w:trPr>
          <w:trHeight w:val="291"/>
        </w:trPr>
        <w:tc>
          <w:tcPr>
            <w:tcW w:w="226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Jorge Salas</w:t>
            </w:r>
          </w:p>
        </w:tc>
        <w:tc>
          <w:tcPr>
            <w:tcW w:w="150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w:t>
            </w:r>
          </w:p>
        </w:tc>
        <w:tc>
          <w:tcPr>
            <w:tcW w:w="1620" w:type="dxa"/>
            <w:vAlign w:val="bottom"/>
            <w:tcBorders>
              <w:bottom w:val="single" w:sz="8" w:color="D7E7F5"/>
            </w:tcBorders>
            <w:shd w:val="clear" w:color="auto" w:fill="D7E7F5"/>
          </w:tcPr>
          <w:p>
            <w:pPr>
              <w:jc w:val="right"/>
              <w:ind w:right="434"/>
              <w:spacing w:after="0"/>
              <w:rPr>
                <w:sz w:val="20"/>
                <w:szCs w:val="20"/>
                <w:color w:val="auto"/>
              </w:rPr>
            </w:pPr>
            <w:r>
              <w:rPr>
                <w:rFonts w:ascii="Arial" w:cs="Arial" w:eastAsia="Arial" w:hAnsi="Arial"/>
                <w:sz w:val="18"/>
                <w:szCs w:val="18"/>
                <w:color w:val="auto"/>
              </w:rPr>
              <w:t>—</w:t>
            </w:r>
          </w:p>
        </w:tc>
        <w:tc>
          <w:tcPr>
            <w:tcW w:w="1200" w:type="dxa"/>
            <w:vAlign w:val="bottom"/>
            <w:tcBorders>
              <w:bottom w:val="single" w:sz="8" w:color="D7E7F5"/>
            </w:tcBorders>
            <w:shd w:val="clear" w:color="auto" w:fill="D7E7F5"/>
          </w:tcPr>
          <w:p>
            <w:pPr>
              <w:jc w:val="right"/>
              <w:ind w:right="193"/>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D7E7F5"/>
            </w:tcBorders>
            <w:shd w:val="clear" w:color="auto" w:fill="D7E7F5"/>
          </w:tcPr>
          <w:p>
            <w:pPr>
              <w:jc w:val="right"/>
              <w:ind w:right="453"/>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D7E7F5"/>
            </w:tcBorders>
            <w:shd w:val="clear" w:color="auto" w:fill="D7E7F5"/>
          </w:tcPr>
          <w:p>
            <w:pPr>
              <w:jc w:val="right"/>
              <w:ind w:right="213"/>
              <w:spacing w:after="0"/>
              <w:rPr>
                <w:sz w:val="20"/>
                <w:szCs w:val="20"/>
                <w:color w:val="auto"/>
              </w:rPr>
            </w:pPr>
            <w:r>
              <w:rPr>
                <w:rFonts w:ascii="Arial" w:cs="Arial" w:eastAsia="Arial" w:hAnsi="Arial"/>
                <w:sz w:val="18"/>
                <w:szCs w:val="18"/>
                <w:color w:val="auto"/>
              </w:rPr>
              <w:t>—</w:t>
            </w:r>
          </w:p>
        </w:tc>
      </w:tr>
      <w:tr>
        <w:trPr>
          <w:trHeight w:val="274"/>
        </w:trPr>
        <w:tc>
          <w:tcPr>
            <w:tcW w:w="2260" w:type="dxa"/>
            <w:vAlign w:val="bottom"/>
          </w:tcPr>
          <w:p>
            <w:pPr>
              <w:ind w:left="100"/>
              <w:spacing w:after="0"/>
              <w:rPr>
                <w:sz w:val="20"/>
                <w:szCs w:val="20"/>
                <w:color w:val="auto"/>
              </w:rPr>
            </w:pPr>
            <w:r>
              <w:rPr>
                <w:rFonts w:ascii="Arial" w:cs="Arial" w:eastAsia="Arial" w:hAnsi="Arial"/>
                <w:sz w:val="18"/>
                <w:szCs w:val="18"/>
                <w:color w:val="auto"/>
              </w:rPr>
              <w:t>Erica Lijtztain</w:t>
            </w:r>
          </w:p>
        </w:tc>
        <w:tc>
          <w:tcPr>
            <w:tcW w:w="1500" w:type="dxa"/>
            <w:vAlign w:val="bottom"/>
          </w:tcPr>
          <w:p>
            <w:pPr>
              <w:jc w:val="right"/>
              <w:ind w:right="393"/>
              <w:spacing w:after="0"/>
              <w:rPr>
                <w:sz w:val="20"/>
                <w:szCs w:val="20"/>
                <w:color w:val="auto"/>
              </w:rPr>
            </w:pPr>
            <w:r>
              <w:rPr>
                <w:rFonts w:ascii="Arial" w:cs="Arial" w:eastAsia="Arial" w:hAnsi="Arial"/>
                <w:sz w:val="18"/>
                <w:szCs w:val="18"/>
                <w:color w:val="auto"/>
              </w:rPr>
              <w:t>3,270</w:t>
            </w:r>
          </w:p>
        </w:tc>
        <w:tc>
          <w:tcPr>
            <w:tcW w:w="1620" w:type="dxa"/>
            <w:vAlign w:val="bottom"/>
          </w:tcPr>
          <w:p>
            <w:pPr>
              <w:jc w:val="right"/>
              <w:ind w:right="434"/>
              <w:spacing w:after="0"/>
              <w:rPr>
                <w:sz w:val="20"/>
                <w:szCs w:val="20"/>
                <w:color w:val="auto"/>
              </w:rPr>
            </w:pPr>
            <w:r>
              <w:rPr>
                <w:rFonts w:ascii="Arial" w:cs="Arial" w:eastAsia="Arial" w:hAnsi="Arial"/>
                <w:sz w:val="18"/>
                <w:szCs w:val="18"/>
                <w:color w:val="auto"/>
              </w:rPr>
              <w:t>4,493</w:t>
            </w:r>
          </w:p>
        </w:tc>
        <w:tc>
          <w:tcPr>
            <w:tcW w:w="1200" w:type="dxa"/>
            <w:vAlign w:val="bottom"/>
          </w:tcPr>
          <w:p>
            <w:pPr>
              <w:jc w:val="right"/>
              <w:ind w:right="193"/>
              <w:spacing w:after="0"/>
              <w:rPr>
                <w:sz w:val="20"/>
                <w:szCs w:val="20"/>
                <w:color w:val="auto"/>
              </w:rPr>
            </w:pPr>
            <w:r>
              <w:rPr>
                <w:rFonts w:ascii="Arial" w:cs="Arial" w:eastAsia="Arial" w:hAnsi="Arial"/>
                <w:sz w:val="18"/>
                <w:szCs w:val="18"/>
                <w:color w:val="auto"/>
              </w:rPr>
              <w:t>7,763</w:t>
            </w:r>
          </w:p>
        </w:tc>
        <w:tc>
          <w:tcPr>
            <w:tcW w:w="1140" w:type="dxa"/>
            <w:vAlign w:val="bottom"/>
          </w:tcPr>
          <w:p>
            <w:pPr>
              <w:jc w:val="right"/>
              <w:ind w:right="453"/>
              <w:spacing w:after="0"/>
              <w:rPr>
                <w:sz w:val="20"/>
                <w:szCs w:val="20"/>
                <w:color w:val="auto"/>
              </w:rPr>
            </w:pPr>
            <w:r>
              <w:rPr>
                <w:rFonts w:ascii="Arial" w:cs="Arial" w:eastAsia="Arial" w:hAnsi="Arial"/>
                <w:sz w:val="18"/>
                <w:szCs w:val="18"/>
                <w:color w:val="auto"/>
              </w:rPr>
              <w:t>*</w:t>
            </w:r>
          </w:p>
        </w:tc>
        <w:tc>
          <w:tcPr>
            <w:tcW w:w="1140" w:type="dxa"/>
            <w:vAlign w:val="bottom"/>
          </w:tcPr>
          <w:p>
            <w:pPr>
              <w:jc w:val="right"/>
              <w:ind w:right="213"/>
              <w:spacing w:after="0"/>
              <w:rPr>
                <w:sz w:val="20"/>
                <w:szCs w:val="20"/>
                <w:color w:val="auto"/>
              </w:rPr>
            </w:pPr>
            <w:r>
              <w:rPr>
                <w:rFonts w:ascii="Arial" w:cs="Arial" w:eastAsia="Arial" w:hAnsi="Arial"/>
                <w:sz w:val="18"/>
                <w:szCs w:val="18"/>
                <w:color w:val="auto"/>
              </w:rPr>
              <w:t>10,210</w:t>
            </w:r>
          </w:p>
        </w:tc>
      </w:tr>
      <w:tr>
        <w:trPr>
          <w:trHeight w:val="37"/>
        </w:trPr>
        <w:tc>
          <w:tcPr>
            <w:tcW w:w="2260" w:type="dxa"/>
            <w:vAlign w:val="bottom"/>
          </w:tcPr>
          <w:p>
            <w:pPr>
              <w:spacing w:after="0"/>
              <w:rPr>
                <w:sz w:val="3"/>
                <w:szCs w:val="3"/>
                <w:color w:val="auto"/>
              </w:rPr>
            </w:pPr>
          </w:p>
        </w:tc>
        <w:tc>
          <w:tcPr>
            <w:tcW w:w="1500" w:type="dxa"/>
            <w:vAlign w:val="bottom"/>
          </w:tcPr>
          <w:p>
            <w:pPr>
              <w:spacing w:after="0"/>
              <w:rPr>
                <w:sz w:val="3"/>
                <w:szCs w:val="3"/>
                <w:color w:val="auto"/>
              </w:rPr>
            </w:pPr>
          </w:p>
        </w:tc>
        <w:tc>
          <w:tcPr>
            <w:tcW w:w="1620" w:type="dxa"/>
            <w:vAlign w:val="bottom"/>
          </w:tcPr>
          <w:p>
            <w:pPr>
              <w:spacing w:after="0"/>
              <w:rPr>
                <w:sz w:val="3"/>
                <w:szCs w:val="3"/>
                <w:color w:val="auto"/>
              </w:rPr>
            </w:pPr>
          </w:p>
        </w:tc>
        <w:tc>
          <w:tcPr>
            <w:tcW w:w="1200" w:type="dxa"/>
            <w:vAlign w:val="bottom"/>
          </w:tcPr>
          <w:p>
            <w:pPr>
              <w:spacing w:after="0"/>
              <w:rPr>
                <w:sz w:val="3"/>
                <w:szCs w:val="3"/>
                <w:color w:val="auto"/>
              </w:rPr>
            </w:pPr>
          </w:p>
        </w:tc>
        <w:tc>
          <w:tcPr>
            <w:tcW w:w="1140" w:type="dxa"/>
            <w:vAlign w:val="bottom"/>
          </w:tcPr>
          <w:p>
            <w:pPr>
              <w:spacing w:after="0"/>
              <w:rPr>
                <w:sz w:val="3"/>
                <w:szCs w:val="3"/>
                <w:color w:val="auto"/>
              </w:rPr>
            </w:pPr>
          </w:p>
        </w:tc>
        <w:tc>
          <w:tcPr>
            <w:tcW w:w="1140" w:type="dxa"/>
            <w:vAlign w:val="bottom"/>
          </w:tcPr>
          <w:p>
            <w:pPr>
              <w:spacing w:after="0"/>
              <w:rPr>
                <w:sz w:val="3"/>
                <w:szCs w:val="3"/>
                <w:color w:val="auto"/>
              </w:rPr>
            </w:pPr>
          </w:p>
        </w:tc>
      </w:tr>
      <w:tr>
        <w:trPr>
          <w:trHeight w:val="290"/>
        </w:trPr>
        <w:tc>
          <w:tcPr>
            <w:tcW w:w="226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Alejandro Jaramillo</w:t>
            </w:r>
          </w:p>
        </w:tc>
        <w:tc>
          <w:tcPr>
            <w:tcW w:w="150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6,103</w:t>
            </w:r>
          </w:p>
        </w:tc>
        <w:tc>
          <w:tcPr>
            <w:tcW w:w="1620" w:type="dxa"/>
            <w:vAlign w:val="bottom"/>
            <w:tcBorders>
              <w:bottom w:val="single" w:sz="8" w:color="D7E7F5"/>
            </w:tcBorders>
            <w:shd w:val="clear" w:color="auto" w:fill="D7E7F5"/>
          </w:tcPr>
          <w:p>
            <w:pPr>
              <w:jc w:val="right"/>
              <w:ind w:right="434"/>
              <w:spacing w:after="0"/>
              <w:rPr>
                <w:sz w:val="20"/>
                <w:szCs w:val="20"/>
                <w:color w:val="auto"/>
              </w:rPr>
            </w:pPr>
            <w:r>
              <w:rPr>
                <w:rFonts w:ascii="Arial" w:cs="Arial" w:eastAsia="Arial" w:hAnsi="Arial"/>
                <w:sz w:val="18"/>
                <w:szCs w:val="18"/>
                <w:color w:val="auto"/>
              </w:rPr>
              <w:t>6,118</w:t>
            </w:r>
          </w:p>
        </w:tc>
        <w:tc>
          <w:tcPr>
            <w:tcW w:w="1200" w:type="dxa"/>
            <w:vAlign w:val="bottom"/>
            <w:tcBorders>
              <w:bottom w:val="single" w:sz="8" w:color="D7E7F5"/>
            </w:tcBorders>
            <w:shd w:val="clear" w:color="auto" w:fill="D7E7F5"/>
          </w:tcPr>
          <w:p>
            <w:pPr>
              <w:jc w:val="right"/>
              <w:ind w:right="193"/>
              <w:spacing w:after="0"/>
              <w:rPr>
                <w:sz w:val="20"/>
                <w:szCs w:val="20"/>
                <w:color w:val="auto"/>
              </w:rPr>
            </w:pPr>
            <w:r>
              <w:rPr>
                <w:rFonts w:ascii="Arial" w:cs="Arial" w:eastAsia="Arial" w:hAnsi="Arial"/>
                <w:sz w:val="18"/>
                <w:szCs w:val="18"/>
                <w:color w:val="auto"/>
              </w:rPr>
              <w:t>12,221</w:t>
            </w:r>
          </w:p>
        </w:tc>
        <w:tc>
          <w:tcPr>
            <w:tcW w:w="1140" w:type="dxa"/>
            <w:vAlign w:val="bottom"/>
            <w:tcBorders>
              <w:bottom w:val="single" w:sz="8" w:color="D7E7F5"/>
            </w:tcBorders>
            <w:shd w:val="clear" w:color="auto" w:fill="D7E7F5"/>
          </w:tcPr>
          <w:p>
            <w:pPr>
              <w:jc w:val="right"/>
              <w:ind w:right="453"/>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D7E7F5"/>
            </w:tcBorders>
            <w:shd w:val="clear" w:color="auto" w:fill="D7E7F5"/>
          </w:tcPr>
          <w:p>
            <w:pPr>
              <w:jc w:val="right"/>
              <w:ind w:right="213"/>
              <w:spacing w:after="0"/>
              <w:rPr>
                <w:sz w:val="20"/>
                <w:szCs w:val="20"/>
                <w:color w:val="auto"/>
              </w:rPr>
            </w:pPr>
            <w:r>
              <w:rPr>
                <w:rFonts w:ascii="Arial" w:cs="Arial" w:eastAsia="Arial" w:hAnsi="Arial"/>
                <w:sz w:val="18"/>
                <w:szCs w:val="18"/>
                <w:color w:val="auto"/>
              </w:rPr>
              <w:t>14,034</w:t>
            </w:r>
          </w:p>
        </w:tc>
      </w:tr>
      <w:tr>
        <w:trPr>
          <w:trHeight w:val="274"/>
        </w:trPr>
        <w:tc>
          <w:tcPr>
            <w:tcW w:w="2260" w:type="dxa"/>
            <w:vAlign w:val="bottom"/>
          </w:tcPr>
          <w:p>
            <w:pPr>
              <w:ind w:left="100"/>
              <w:spacing w:after="0"/>
              <w:rPr>
                <w:sz w:val="20"/>
                <w:szCs w:val="20"/>
                <w:color w:val="auto"/>
              </w:rPr>
            </w:pPr>
            <w:r>
              <w:rPr>
                <w:rFonts w:ascii="Arial" w:cs="Arial" w:eastAsia="Arial" w:hAnsi="Arial"/>
                <w:sz w:val="18"/>
                <w:szCs w:val="18"/>
                <w:color w:val="auto"/>
              </w:rPr>
              <w:t>Ana Graciela de Méndez</w:t>
            </w:r>
          </w:p>
        </w:tc>
        <w:tc>
          <w:tcPr>
            <w:tcW w:w="1500" w:type="dxa"/>
            <w:vAlign w:val="bottom"/>
          </w:tcPr>
          <w:p>
            <w:pPr>
              <w:jc w:val="right"/>
              <w:ind w:right="393"/>
              <w:spacing w:after="0"/>
              <w:rPr>
                <w:sz w:val="20"/>
                <w:szCs w:val="20"/>
                <w:color w:val="auto"/>
              </w:rPr>
            </w:pPr>
            <w:r>
              <w:rPr>
                <w:rFonts w:ascii="Arial" w:cs="Arial" w:eastAsia="Arial" w:hAnsi="Arial"/>
                <w:sz w:val="18"/>
                <w:szCs w:val="18"/>
                <w:color w:val="auto"/>
              </w:rPr>
              <w:t>2,348</w:t>
            </w:r>
          </w:p>
        </w:tc>
        <w:tc>
          <w:tcPr>
            <w:tcW w:w="1620" w:type="dxa"/>
            <w:vAlign w:val="bottom"/>
          </w:tcPr>
          <w:p>
            <w:pPr>
              <w:jc w:val="right"/>
              <w:ind w:right="434"/>
              <w:spacing w:after="0"/>
              <w:rPr>
                <w:sz w:val="20"/>
                <w:szCs w:val="20"/>
                <w:color w:val="auto"/>
              </w:rPr>
            </w:pPr>
            <w:r>
              <w:rPr>
                <w:rFonts w:ascii="Arial" w:cs="Arial" w:eastAsia="Arial" w:hAnsi="Arial"/>
                <w:sz w:val="18"/>
                <w:szCs w:val="18"/>
                <w:color w:val="auto"/>
              </w:rPr>
              <w:t>3,265</w:t>
            </w:r>
          </w:p>
        </w:tc>
        <w:tc>
          <w:tcPr>
            <w:tcW w:w="1200" w:type="dxa"/>
            <w:vAlign w:val="bottom"/>
          </w:tcPr>
          <w:p>
            <w:pPr>
              <w:jc w:val="right"/>
              <w:ind w:right="193"/>
              <w:spacing w:after="0"/>
              <w:rPr>
                <w:sz w:val="20"/>
                <w:szCs w:val="20"/>
                <w:color w:val="auto"/>
              </w:rPr>
            </w:pPr>
            <w:r>
              <w:rPr>
                <w:rFonts w:ascii="Arial" w:cs="Arial" w:eastAsia="Arial" w:hAnsi="Arial"/>
                <w:sz w:val="18"/>
                <w:szCs w:val="18"/>
                <w:color w:val="auto"/>
              </w:rPr>
              <w:t>5,613</w:t>
            </w:r>
          </w:p>
        </w:tc>
        <w:tc>
          <w:tcPr>
            <w:tcW w:w="1140" w:type="dxa"/>
            <w:vAlign w:val="bottom"/>
          </w:tcPr>
          <w:p>
            <w:pPr>
              <w:jc w:val="right"/>
              <w:ind w:right="453"/>
              <w:spacing w:after="0"/>
              <w:rPr>
                <w:sz w:val="20"/>
                <w:szCs w:val="20"/>
                <w:color w:val="auto"/>
              </w:rPr>
            </w:pPr>
            <w:r>
              <w:rPr>
                <w:rFonts w:ascii="Arial" w:cs="Arial" w:eastAsia="Arial" w:hAnsi="Arial"/>
                <w:sz w:val="18"/>
                <w:szCs w:val="18"/>
                <w:color w:val="auto"/>
              </w:rPr>
              <w:t>*</w:t>
            </w:r>
          </w:p>
        </w:tc>
        <w:tc>
          <w:tcPr>
            <w:tcW w:w="1140" w:type="dxa"/>
            <w:vAlign w:val="bottom"/>
          </w:tcPr>
          <w:p>
            <w:pPr>
              <w:jc w:val="right"/>
              <w:ind w:right="213"/>
              <w:spacing w:after="0"/>
              <w:rPr>
                <w:sz w:val="20"/>
                <w:szCs w:val="20"/>
                <w:color w:val="auto"/>
              </w:rPr>
            </w:pPr>
            <w:r>
              <w:rPr>
                <w:rFonts w:ascii="Arial" w:cs="Arial" w:eastAsia="Arial" w:hAnsi="Arial"/>
                <w:sz w:val="18"/>
                <w:szCs w:val="18"/>
                <w:color w:val="auto"/>
              </w:rPr>
              <w:t>7,448</w:t>
            </w:r>
          </w:p>
        </w:tc>
      </w:tr>
      <w:tr>
        <w:trPr>
          <w:trHeight w:val="37"/>
        </w:trPr>
        <w:tc>
          <w:tcPr>
            <w:tcW w:w="2260" w:type="dxa"/>
            <w:vAlign w:val="bottom"/>
          </w:tcPr>
          <w:p>
            <w:pPr>
              <w:spacing w:after="0"/>
              <w:rPr>
                <w:sz w:val="3"/>
                <w:szCs w:val="3"/>
                <w:color w:val="auto"/>
              </w:rPr>
            </w:pPr>
          </w:p>
        </w:tc>
        <w:tc>
          <w:tcPr>
            <w:tcW w:w="1500" w:type="dxa"/>
            <w:vAlign w:val="bottom"/>
          </w:tcPr>
          <w:p>
            <w:pPr>
              <w:spacing w:after="0"/>
              <w:rPr>
                <w:sz w:val="3"/>
                <w:szCs w:val="3"/>
                <w:color w:val="auto"/>
              </w:rPr>
            </w:pPr>
          </w:p>
        </w:tc>
        <w:tc>
          <w:tcPr>
            <w:tcW w:w="1620" w:type="dxa"/>
            <w:vAlign w:val="bottom"/>
          </w:tcPr>
          <w:p>
            <w:pPr>
              <w:spacing w:after="0"/>
              <w:rPr>
                <w:sz w:val="3"/>
                <w:szCs w:val="3"/>
                <w:color w:val="auto"/>
              </w:rPr>
            </w:pPr>
          </w:p>
        </w:tc>
        <w:tc>
          <w:tcPr>
            <w:tcW w:w="1200" w:type="dxa"/>
            <w:vAlign w:val="bottom"/>
          </w:tcPr>
          <w:p>
            <w:pPr>
              <w:spacing w:after="0"/>
              <w:rPr>
                <w:sz w:val="3"/>
                <w:szCs w:val="3"/>
                <w:color w:val="auto"/>
              </w:rPr>
            </w:pPr>
          </w:p>
        </w:tc>
        <w:tc>
          <w:tcPr>
            <w:tcW w:w="1140" w:type="dxa"/>
            <w:vAlign w:val="bottom"/>
          </w:tcPr>
          <w:p>
            <w:pPr>
              <w:spacing w:after="0"/>
              <w:rPr>
                <w:sz w:val="3"/>
                <w:szCs w:val="3"/>
                <w:color w:val="auto"/>
              </w:rPr>
            </w:pPr>
          </w:p>
        </w:tc>
        <w:tc>
          <w:tcPr>
            <w:tcW w:w="1140" w:type="dxa"/>
            <w:vAlign w:val="bottom"/>
          </w:tcPr>
          <w:p>
            <w:pPr>
              <w:spacing w:after="0"/>
              <w:rPr>
                <w:sz w:val="3"/>
                <w:szCs w:val="3"/>
                <w:color w:val="auto"/>
              </w:rPr>
            </w:pPr>
          </w:p>
        </w:tc>
      </w:tr>
      <w:tr>
        <w:trPr>
          <w:trHeight w:val="290"/>
        </w:trPr>
        <w:tc>
          <w:tcPr>
            <w:tcW w:w="226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Eduardo Vivone</w:t>
            </w:r>
          </w:p>
        </w:tc>
        <w:tc>
          <w:tcPr>
            <w:tcW w:w="150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2,986</w:t>
            </w:r>
          </w:p>
        </w:tc>
        <w:tc>
          <w:tcPr>
            <w:tcW w:w="1620" w:type="dxa"/>
            <w:vAlign w:val="bottom"/>
            <w:tcBorders>
              <w:bottom w:val="single" w:sz="8" w:color="D7E7F5"/>
            </w:tcBorders>
            <w:shd w:val="clear" w:color="auto" w:fill="D7E7F5"/>
          </w:tcPr>
          <w:p>
            <w:pPr>
              <w:jc w:val="right"/>
              <w:ind w:right="434"/>
              <w:spacing w:after="0"/>
              <w:rPr>
                <w:sz w:val="20"/>
                <w:szCs w:val="20"/>
                <w:color w:val="auto"/>
              </w:rPr>
            </w:pPr>
            <w:r>
              <w:rPr>
                <w:rFonts w:ascii="Arial" w:cs="Arial" w:eastAsia="Arial" w:hAnsi="Arial"/>
                <w:sz w:val="18"/>
                <w:szCs w:val="18"/>
                <w:color w:val="auto"/>
              </w:rPr>
              <w:t>4,423</w:t>
            </w:r>
          </w:p>
        </w:tc>
        <w:tc>
          <w:tcPr>
            <w:tcW w:w="1200" w:type="dxa"/>
            <w:vAlign w:val="bottom"/>
            <w:tcBorders>
              <w:bottom w:val="single" w:sz="8" w:color="D7E7F5"/>
            </w:tcBorders>
            <w:shd w:val="clear" w:color="auto" w:fill="D7E7F5"/>
          </w:tcPr>
          <w:p>
            <w:pPr>
              <w:jc w:val="right"/>
              <w:ind w:right="193"/>
              <w:spacing w:after="0"/>
              <w:rPr>
                <w:sz w:val="20"/>
                <w:szCs w:val="20"/>
                <w:color w:val="auto"/>
              </w:rPr>
            </w:pPr>
            <w:r>
              <w:rPr>
                <w:rFonts w:ascii="Arial" w:cs="Arial" w:eastAsia="Arial" w:hAnsi="Arial"/>
                <w:sz w:val="18"/>
                <w:szCs w:val="18"/>
                <w:color w:val="auto"/>
              </w:rPr>
              <w:t>7,409</w:t>
            </w:r>
          </w:p>
        </w:tc>
        <w:tc>
          <w:tcPr>
            <w:tcW w:w="1140" w:type="dxa"/>
            <w:vAlign w:val="bottom"/>
            <w:tcBorders>
              <w:bottom w:val="single" w:sz="8" w:color="D7E7F5"/>
            </w:tcBorders>
            <w:shd w:val="clear" w:color="auto" w:fill="D7E7F5"/>
          </w:tcPr>
          <w:p>
            <w:pPr>
              <w:jc w:val="right"/>
              <w:ind w:right="453"/>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D7E7F5"/>
            </w:tcBorders>
            <w:shd w:val="clear" w:color="auto" w:fill="D7E7F5"/>
          </w:tcPr>
          <w:p>
            <w:pPr>
              <w:jc w:val="right"/>
              <w:ind w:right="213"/>
              <w:spacing w:after="0"/>
              <w:rPr>
                <w:sz w:val="20"/>
                <w:szCs w:val="20"/>
                <w:color w:val="auto"/>
              </w:rPr>
            </w:pPr>
            <w:r>
              <w:rPr>
                <w:rFonts w:ascii="Arial" w:cs="Arial" w:eastAsia="Arial" w:hAnsi="Arial"/>
                <w:sz w:val="18"/>
                <w:szCs w:val="18"/>
                <w:color w:val="auto"/>
              </w:rPr>
              <w:t>10,333</w:t>
            </w:r>
          </w:p>
        </w:tc>
      </w:tr>
      <w:tr>
        <w:trPr>
          <w:trHeight w:val="274"/>
        </w:trPr>
        <w:tc>
          <w:tcPr>
            <w:tcW w:w="2260" w:type="dxa"/>
            <w:vAlign w:val="bottom"/>
          </w:tcPr>
          <w:p>
            <w:pPr>
              <w:ind w:left="100"/>
              <w:spacing w:after="0"/>
              <w:rPr>
                <w:sz w:val="20"/>
                <w:szCs w:val="20"/>
                <w:color w:val="auto"/>
              </w:rPr>
            </w:pPr>
            <w:r>
              <w:rPr>
                <w:rFonts w:ascii="Arial" w:cs="Arial" w:eastAsia="Arial" w:hAnsi="Arial"/>
                <w:sz w:val="18"/>
                <w:szCs w:val="18"/>
                <w:color w:val="auto"/>
              </w:rPr>
              <w:t>Alejandro Tizzoni</w:t>
            </w:r>
          </w:p>
        </w:tc>
        <w:tc>
          <w:tcPr>
            <w:tcW w:w="1500" w:type="dxa"/>
            <w:vAlign w:val="bottom"/>
          </w:tcPr>
          <w:p>
            <w:pPr>
              <w:jc w:val="right"/>
              <w:ind w:right="393"/>
              <w:spacing w:after="0"/>
              <w:rPr>
                <w:sz w:val="20"/>
                <w:szCs w:val="20"/>
                <w:color w:val="auto"/>
              </w:rPr>
            </w:pPr>
            <w:r>
              <w:rPr>
                <w:rFonts w:ascii="Arial" w:cs="Arial" w:eastAsia="Arial" w:hAnsi="Arial"/>
                <w:sz w:val="18"/>
                <w:szCs w:val="18"/>
                <w:color w:val="auto"/>
              </w:rPr>
              <w:t>7,806</w:t>
            </w:r>
          </w:p>
        </w:tc>
        <w:tc>
          <w:tcPr>
            <w:tcW w:w="1620" w:type="dxa"/>
            <w:vAlign w:val="bottom"/>
          </w:tcPr>
          <w:p>
            <w:pPr>
              <w:jc w:val="right"/>
              <w:ind w:right="434"/>
              <w:spacing w:after="0"/>
              <w:rPr>
                <w:sz w:val="20"/>
                <w:szCs w:val="20"/>
                <w:color w:val="auto"/>
              </w:rPr>
            </w:pPr>
            <w:r>
              <w:rPr>
                <w:rFonts w:ascii="Arial" w:cs="Arial" w:eastAsia="Arial" w:hAnsi="Arial"/>
                <w:sz w:val="18"/>
                <w:szCs w:val="18"/>
                <w:color w:val="auto"/>
              </w:rPr>
              <w:t>4,585</w:t>
            </w:r>
          </w:p>
        </w:tc>
        <w:tc>
          <w:tcPr>
            <w:tcW w:w="1200" w:type="dxa"/>
            <w:vAlign w:val="bottom"/>
          </w:tcPr>
          <w:p>
            <w:pPr>
              <w:jc w:val="right"/>
              <w:ind w:right="193"/>
              <w:spacing w:after="0"/>
              <w:rPr>
                <w:sz w:val="20"/>
                <w:szCs w:val="20"/>
                <w:color w:val="auto"/>
              </w:rPr>
            </w:pPr>
            <w:r>
              <w:rPr>
                <w:rFonts w:ascii="Arial" w:cs="Arial" w:eastAsia="Arial" w:hAnsi="Arial"/>
                <w:sz w:val="18"/>
                <w:szCs w:val="18"/>
                <w:color w:val="auto"/>
              </w:rPr>
              <w:t>12,391</w:t>
            </w:r>
          </w:p>
        </w:tc>
        <w:tc>
          <w:tcPr>
            <w:tcW w:w="1140" w:type="dxa"/>
            <w:vAlign w:val="bottom"/>
          </w:tcPr>
          <w:p>
            <w:pPr>
              <w:jc w:val="right"/>
              <w:ind w:right="453"/>
              <w:spacing w:after="0"/>
              <w:rPr>
                <w:sz w:val="20"/>
                <w:szCs w:val="20"/>
                <w:color w:val="auto"/>
              </w:rPr>
            </w:pPr>
            <w:r>
              <w:rPr>
                <w:rFonts w:ascii="Arial" w:cs="Arial" w:eastAsia="Arial" w:hAnsi="Arial"/>
                <w:sz w:val="18"/>
                <w:szCs w:val="18"/>
                <w:color w:val="auto"/>
              </w:rPr>
              <w:t>*</w:t>
            </w:r>
          </w:p>
        </w:tc>
        <w:tc>
          <w:tcPr>
            <w:tcW w:w="1140" w:type="dxa"/>
            <w:vAlign w:val="bottom"/>
          </w:tcPr>
          <w:p>
            <w:pPr>
              <w:jc w:val="right"/>
              <w:ind w:right="213"/>
              <w:spacing w:after="0"/>
              <w:rPr>
                <w:sz w:val="20"/>
                <w:szCs w:val="20"/>
                <w:color w:val="auto"/>
              </w:rPr>
            </w:pPr>
            <w:r>
              <w:rPr>
                <w:rFonts w:ascii="Arial" w:cs="Arial" w:eastAsia="Arial" w:hAnsi="Arial"/>
                <w:sz w:val="18"/>
                <w:szCs w:val="18"/>
                <w:color w:val="auto"/>
              </w:rPr>
              <w:t>10,565</w:t>
            </w:r>
          </w:p>
        </w:tc>
      </w:tr>
      <w:tr>
        <w:trPr>
          <w:trHeight w:val="37"/>
        </w:trPr>
        <w:tc>
          <w:tcPr>
            <w:tcW w:w="2260" w:type="dxa"/>
            <w:vAlign w:val="bottom"/>
          </w:tcPr>
          <w:p>
            <w:pPr>
              <w:spacing w:after="0"/>
              <w:rPr>
                <w:sz w:val="3"/>
                <w:szCs w:val="3"/>
                <w:color w:val="auto"/>
              </w:rPr>
            </w:pPr>
          </w:p>
        </w:tc>
        <w:tc>
          <w:tcPr>
            <w:tcW w:w="1500" w:type="dxa"/>
            <w:vAlign w:val="bottom"/>
          </w:tcPr>
          <w:p>
            <w:pPr>
              <w:spacing w:after="0"/>
              <w:rPr>
                <w:sz w:val="3"/>
                <w:szCs w:val="3"/>
                <w:color w:val="auto"/>
              </w:rPr>
            </w:pPr>
          </w:p>
        </w:tc>
        <w:tc>
          <w:tcPr>
            <w:tcW w:w="1620" w:type="dxa"/>
            <w:vAlign w:val="bottom"/>
          </w:tcPr>
          <w:p>
            <w:pPr>
              <w:spacing w:after="0"/>
              <w:rPr>
                <w:sz w:val="3"/>
                <w:szCs w:val="3"/>
                <w:color w:val="auto"/>
              </w:rPr>
            </w:pPr>
          </w:p>
        </w:tc>
        <w:tc>
          <w:tcPr>
            <w:tcW w:w="1200" w:type="dxa"/>
            <w:vAlign w:val="bottom"/>
          </w:tcPr>
          <w:p>
            <w:pPr>
              <w:spacing w:after="0"/>
              <w:rPr>
                <w:sz w:val="3"/>
                <w:szCs w:val="3"/>
                <w:color w:val="auto"/>
              </w:rPr>
            </w:pPr>
          </w:p>
        </w:tc>
        <w:tc>
          <w:tcPr>
            <w:tcW w:w="1140" w:type="dxa"/>
            <w:vAlign w:val="bottom"/>
          </w:tcPr>
          <w:p>
            <w:pPr>
              <w:spacing w:after="0"/>
              <w:rPr>
                <w:sz w:val="3"/>
                <w:szCs w:val="3"/>
                <w:color w:val="auto"/>
              </w:rPr>
            </w:pPr>
          </w:p>
        </w:tc>
        <w:tc>
          <w:tcPr>
            <w:tcW w:w="1140" w:type="dxa"/>
            <w:vAlign w:val="bottom"/>
          </w:tcPr>
          <w:p>
            <w:pPr>
              <w:spacing w:after="0"/>
              <w:rPr>
                <w:sz w:val="3"/>
                <w:szCs w:val="3"/>
                <w:color w:val="auto"/>
              </w:rPr>
            </w:pPr>
          </w:p>
        </w:tc>
      </w:tr>
      <w:tr>
        <w:trPr>
          <w:trHeight w:val="290"/>
        </w:trPr>
        <w:tc>
          <w:tcPr>
            <w:tcW w:w="226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Jorge Luis Real</w:t>
            </w:r>
          </w:p>
        </w:tc>
        <w:tc>
          <w:tcPr>
            <w:tcW w:w="150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1,250</w:t>
            </w:r>
          </w:p>
        </w:tc>
        <w:tc>
          <w:tcPr>
            <w:tcW w:w="1620" w:type="dxa"/>
            <w:vAlign w:val="bottom"/>
            <w:tcBorders>
              <w:bottom w:val="single" w:sz="8" w:color="D7E7F5"/>
            </w:tcBorders>
            <w:shd w:val="clear" w:color="auto" w:fill="D7E7F5"/>
          </w:tcPr>
          <w:p>
            <w:pPr>
              <w:jc w:val="right"/>
              <w:ind w:right="434"/>
              <w:spacing w:after="0"/>
              <w:rPr>
                <w:sz w:val="20"/>
                <w:szCs w:val="20"/>
                <w:color w:val="auto"/>
              </w:rPr>
            </w:pPr>
            <w:r>
              <w:rPr>
                <w:rFonts w:ascii="Arial" w:cs="Arial" w:eastAsia="Arial" w:hAnsi="Arial"/>
                <w:sz w:val="18"/>
                <w:szCs w:val="18"/>
                <w:color w:val="auto"/>
              </w:rPr>
              <w:t>1,290</w:t>
            </w:r>
          </w:p>
        </w:tc>
        <w:tc>
          <w:tcPr>
            <w:tcW w:w="1200" w:type="dxa"/>
            <w:vAlign w:val="bottom"/>
            <w:tcBorders>
              <w:bottom w:val="single" w:sz="8" w:color="D7E7F5"/>
            </w:tcBorders>
            <w:shd w:val="clear" w:color="auto" w:fill="D7E7F5"/>
          </w:tcPr>
          <w:p>
            <w:pPr>
              <w:jc w:val="right"/>
              <w:ind w:right="193"/>
              <w:spacing w:after="0"/>
              <w:rPr>
                <w:sz w:val="20"/>
                <w:szCs w:val="20"/>
                <w:color w:val="auto"/>
              </w:rPr>
            </w:pPr>
            <w:r>
              <w:rPr>
                <w:rFonts w:ascii="Arial" w:cs="Arial" w:eastAsia="Arial" w:hAnsi="Arial"/>
                <w:sz w:val="18"/>
                <w:szCs w:val="18"/>
                <w:color w:val="auto"/>
              </w:rPr>
              <w:t>2,540</w:t>
            </w:r>
          </w:p>
        </w:tc>
        <w:tc>
          <w:tcPr>
            <w:tcW w:w="1140" w:type="dxa"/>
            <w:vAlign w:val="bottom"/>
            <w:tcBorders>
              <w:bottom w:val="single" w:sz="8" w:color="D7E7F5"/>
            </w:tcBorders>
            <w:shd w:val="clear" w:color="auto" w:fill="D7E7F5"/>
          </w:tcPr>
          <w:p>
            <w:pPr>
              <w:jc w:val="right"/>
              <w:ind w:right="453"/>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D7E7F5"/>
            </w:tcBorders>
            <w:shd w:val="clear" w:color="auto" w:fill="D7E7F5"/>
          </w:tcPr>
          <w:p>
            <w:pPr>
              <w:jc w:val="right"/>
              <w:ind w:right="213"/>
              <w:spacing w:after="0"/>
              <w:rPr>
                <w:sz w:val="20"/>
                <w:szCs w:val="20"/>
                <w:color w:val="auto"/>
              </w:rPr>
            </w:pPr>
            <w:r>
              <w:rPr>
                <w:rFonts w:ascii="Arial" w:cs="Arial" w:eastAsia="Arial" w:hAnsi="Arial"/>
                <w:sz w:val="18"/>
                <w:szCs w:val="18"/>
                <w:color w:val="auto"/>
              </w:rPr>
              <w:t>2,620</w:t>
            </w:r>
          </w:p>
        </w:tc>
      </w:tr>
      <w:tr>
        <w:trPr>
          <w:trHeight w:val="274"/>
        </w:trPr>
        <w:tc>
          <w:tcPr>
            <w:tcW w:w="2260" w:type="dxa"/>
            <w:vAlign w:val="bottom"/>
          </w:tcPr>
          <w:p>
            <w:pPr>
              <w:ind w:left="100"/>
              <w:spacing w:after="0"/>
              <w:rPr>
                <w:sz w:val="20"/>
                <w:szCs w:val="20"/>
                <w:color w:val="auto"/>
              </w:rPr>
            </w:pPr>
            <w:r>
              <w:rPr>
                <w:rFonts w:ascii="Arial" w:cs="Arial" w:eastAsia="Arial" w:hAnsi="Arial"/>
                <w:sz w:val="18"/>
                <w:szCs w:val="18"/>
                <w:color w:val="auto"/>
              </w:rPr>
              <w:t>Jorge Córdoba</w:t>
            </w:r>
          </w:p>
        </w:tc>
        <w:tc>
          <w:tcPr>
            <w:tcW w:w="1500" w:type="dxa"/>
            <w:vAlign w:val="bottom"/>
          </w:tcPr>
          <w:p>
            <w:pPr>
              <w:jc w:val="right"/>
              <w:ind w:right="393"/>
              <w:spacing w:after="0"/>
              <w:rPr>
                <w:sz w:val="20"/>
                <w:szCs w:val="20"/>
                <w:color w:val="auto"/>
              </w:rPr>
            </w:pPr>
            <w:r>
              <w:rPr>
                <w:rFonts w:ascii="Arial" w:cs="Arial" w:eastAsia="Arial" w:hAnsi="Arial"/>
                <w:sz w:val="18"/>
                <w:szCs w:val="18"/>
                <w:color w:val="auto"/>
              </w:rPr>
              <w:t>334</w:t>
            </w:r>
          </w:p>
        </w:tc>
        <w:tc>
          <w:tcPr>
            <w:tcW w:w="1620" w:type="dxa"/>
            <w:vAlign w:val="bottom"/>
          </w:tcPr>
          <w:p>
            <w:pPr>
              <w:jc w:val="right"/>
              <w:ind w:right="434"/>
              <w:spacing w:after="0"/>
              <w:rPr>
                <w:sz w:val="20"/>
                <w:szCs w:val="20"/>
                <w:color w:val="auto"/>
              </w:rPr>
            </w:pPr>
            <w:r>
              <w:rPr>
                <w:rFonts w:ascii="Arial" w:cs="Arial" w:eastAsia="Arial" w:hAnsi="Arial"/>
                <w:sz w:val="18"/>
                <w:szCs w:val="18"/>
                <w:color w:val="auto"/>
              </w:rPr>
              <w:t>573</w:t>
            </w:r>
          </w:p>
        </w:tc>
        <w:tc>
          <w:tcPr>
            <w:tcW w:w="1200" w:type="dxa"/>
            <w:vAlign w:val="bottom"/>
          </w:tcPr>
          <w:p>
            <w:pPr>
              <w:jc w:val="right"/>
              <w:ind w:right="213"/>
              <w:spacing w:after="0"/>
              <w:rPr>
                <w:sz w:val="20"/>
                <w:szCs w:val="20"/>
                <w:color w:val="auto"/>
              </w:rPr>
            </w:pPr>
            <w:r>
              <w:rPr>
                <w:rFonts w:ascii="Arial" w:cs="Arial" w:eastAsia="Arial" w:hAnsi="Arial"/>
                <w:sz w:val="18"/>
                <w:szCs w:val="18"/>
                <w:color w:val="auto"/>
              </w:rPr>
              <w:t>907</w:t>
            </w:r>
          </w:p>
        </w:tc>
        <w:tc>
          <w:tcPr>
            <w:tcW w:w="1140" w:type="dxa"/>
            <w:vAlign w:val="bottom"/>
          </w:tcPr>
          <w:p>
            <w:pPr>
              <w:jc w:val="right"/>
              <w:ind w:right="453"/>
              <w:spacing w:after="0"/>
              <w:rPr>
                <w:sz w:val="20"/>
                <w:szCs w:val="20"/>
                <w:color w:val="auto"/>
              </w:rPr>
            </w:pPr>
            <w:r>
              <w:rPr>
                <w:rFonts w:ascii="Arial" w:cs="Arial" w:eastAsia="Arial" w:hAnsi="Arial"/>
                <w:sz w:val="18"/>
                <w:szCs w:val="18"/>
                <w:color w:val="auto"/>
              </w:rPr>
              <w:t>*</w:t>
            </w:r>
          </w:p>
        </w:tc>
        <w:tc>
          <w:tcPr>
            <w:tcW w:w="1140" w:type="dxa"/>
            <w:vAlign w:val="bottom"/>
          </w:tcPr>
          <w:p>
            <w:pPr>
              <w:jc w:val="right"/>
              <w:ind w:right="213"/>
              <w:spacing w:after="0"/>
              <w:rPr>
                <w:sz w:val="20"/>
                <w:szCs w:val="20"/>
                <w:color w:val="auto"/>
              </w:rPr>
            </w:pPr>
            <w:r>
              <w:rPr>
                <w:rFonts w:ascii="Arial" w:cs="Arial" w:eastAsia="Arial" w:hAnsi="Arial"/>
                <w:sz w:val="18"/>
                <w:szCs w:val="18"/>
                <w:color w:val="auto"/>
              </w:rPr>
              <w:t>1,385</w:t>
            </w:r>
          </w:p>
        </w:tc>
      </w:tr>
      <w:tr>
        <w:trPr>
          <w:trHeight w:val="37"/>
        </w:trPr>
        <w:tc>
          <w:tcPr>
            <w:tcW w:w="2260" w:type="dxa"/>
            <w:vAlign w:val="bottom"/>
          </w:tcPr>
          <w:p>
            <w:pPr>
              <w:spacing w:after="0"/>
              <w:rPr>
                <w:sz w:val="3"/>
                <w:szCs w:val="3"/>
                <w:color w:val="auto"/>
              </w:rPr>
            </w:pPr>
          </w:p>
        </w:tc>
        <w:tc>
          <w:tcPr>
            <w:tcW w:w="1500" w:type="dxa"/>
            <w:vAlign w:val="bottom"/>
          </w:tcPr>
          <w:p>
            <w:pPr>
              <w:spacing w:after="0"/>
              <w:rPr>
                <w:sz w:val="3"/>
                <w:szCs w:val="3"/>
                <w:color w:val="auto"/>
              </w:rPr>
            </w:pPr>
          </w:p>
        </w:tc>
        <w:tc>
          <w:tcPr>
            <w:tcW w:w="1620" w:type="dxa"/>
            <w:vAlign w:val="bottom"/>
          </w:tcPr>
          <w:p>
            <w:pPr>
              <w:spacing w:after="0"/>
              <w:rPr>
                <w:sz w:val="3"/>
                <w:szCs w:val="3"/>
                <w:color w:val="auto"/>
              </w:rPr>
            </w:pPr>
          </w:p>
        </w:tc>
        <w:tc>
          <w:tcPr>
            <w:tcW w:w="1200" w:type="dxa"/>
            <w:vAlign w:val="bottom"/>
          </w:tcPr>
          <w:p>
            <w:pPr>
              <w:spacing w:after="0"/>
              <w:rPr>
                <w:sz w:val="3"/>
                <w:szCs w:val="3"/>
                <w:color w:val="auto"/>
              </w:rPr>
            </w:pPr>
          </w:p>
        </w:tc>
        <w:tc>
          <w:tcPr>
            <w:tcW w:w="1140" w:type="dxa"/>
            <w:vAlign w:val="bottom"/>
          </w:tcPr>
          <w:p>
            <w:pPr>
              <w:spacing w:after="0"/>
              <w:rPr>
                <w:sz w:val="3"/>
                <w:szCs w:val="3"/>
                <w:color w:val="auto"/>
              </w:rPr>
            </w:pPr>
          </w:p>
        </w:tc>
        <w:tc>
          <w:tcPr>
            <w:tcW w:w="1140" w:type="dxa"/>
            <w:vAlign w:val="bottom"/>
          </w:tcPr>
          <w:p>
            <w:pPr>
              <w:spacing w:after="0"/>
              <w:rPr>
                <w:sz w:val="3"/>
                <w:szCs w:val="3"/>
                <w:color w:val="auto"/>
              </w:rPr>
            </w:pPr>
          </w:p>
        </w:tc>
      </w:tr>
      <w:tr>
        <w:trPr>
          <w:trHeight w:val="290"/>
        </w:trPr>
        <w:tc>
          <w:tcPr>
            <w:tcW w:w="226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b w:val="1"/>
                <w:bCs w:val="1"/>
                <w:color w:val="auto"/>
              </w:rPr>
              <w:t>Total</w:t>
            </w:r>
          </w:p>
        </w:tc>
        <w:tc>
          <w:tcPr>
            <w:tcW w:w="150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b w:val="1"/>
                <w:bCs w:val="1"/>
                <w:color w:val="auto"/>
              </w:rPr>
              <w:t>24,097</w:t>
            </w:r>
          </w:p>
        </w:tc>
        <w:tc>
          <w:tcPr>
            <w:tcW w:w="1620" w:type="dxa"/>
            <w:vAlign w:val="bottom"/>
            <w:tcBorders>
              <w:bottom w:val="single" w:sz="8" w:color="D7E7F5"/>
            </w:tcBorders>
            <w:shd w:val="clear" w:color="auto" w:fill="D7E7F5"/>
          </w:tcPr>
          <w:p>
            <w:pPr>
              <w:jc w:val="right"/>
              <w:ind w:right="434"/>
              <w:spacing w:after="0"/>
              <w:rPr>
                <w:sz w:val="20"/>
                <w:szCs w:val="20"/>
                <w:color w:val="auto"/>
              </w:rPr>
            </w:pPr>
            <w:r>
              <w:rPr>
                <w:rFonts w:ascii="Arial" w:cs="Arial" w:eastAsia="Arial" w:hAnsi="Arial"/>
                <w:sz w:val="18"/>
                <w:szCs w:val="18"/>
                <w:b w:val="1"/>
                <w:bCs w:val="1"/>
                <w:color w:val="auto"/>
              </w:rPr>
              <w:t>24,747</w:t>
            </w:r>
          </w:p>
        </w:tc>
        <w:tc>
          <w:tcPr>
            <w:tcW w:w="1200" w:type="dxa"/>
            <w:vAlign w:val="bottom"/>
            <w:tcBorders>
              <w:bottom w:val="single" w:sz="8" w:color="D7E7F5"/>
            </w:tcBorders>
            <w:shd w:val="clear" w:color="auto" w:fill="D7E7F5"/>
          </w:tcPr>
          <w:p>
            <w:pPr>
              <w:jc w:val="right"/>
              <w:ind w:right="193"/>
              <w:spacing w:after="0"/>
              <w:rPr>
                <w:sz w:val="20"/>
                <w:szCs w:val="20"/>
                <w:color w:val="auto"/>
              </w:rPr>
            </w:pPr>
            <w:r>
              <w:rPr>
                <w:rFonts w:ascii="Arial" w:cs="Arial" w:eastAsia="Arial" w:hAnsi="Arial"/>
                <w:sz w:val="18"/>
                <w:szCs w:val="18"/>
                <w:b w:val="1"/>
                <w:bCs w:val="1"/>
                <w:color w:val="auto"/>
              </w:rPr>
              <w:t>48,844</w:t>
            </w:r>
          </w:p>
        </w:tc>
        <w:tc>
          <w:tcPr>
            <w:tcW w:w="1140" w:type="dxa"/>
            <w:vAlign w:val="bottom"/>
            <w:tcBorders>
              <w:bottom w:val="single" w:sz="8" w:color="D7E7F5"/>
            </w:tcBorders>
            <w:shd w:val="clear" w:color="auto" w:fill="D7E7F5"/>
          </w:tcPr>
          <w:p>
            <w:pPr>
              <w:spacing w:after="0"/>
              <w:rPr>
                <w:sz w:val="24"/>
                <w:szCs w:val="24"/>
                <w:color w:val="auto"/>
              </w:rPr>
            </w:pPr>
          </w:p>
        </w:tc>
        <w:tc>
          <w:tcPr>
            <w:tcW w:w="1140" w:type="dxa"/>
            <w:vAlign w:val="bottom"/>
            <w:tcBorders>
              <w:bottom w:val="single" w:sz="8" w:color="D7E7F5"/>
            </w:tcBorders>
            <w:shd w:val="clear" w:color="auto" w:fill="D7E7F5"/>
          </w:tcPr>
          <w:p>
            <w:pPr>
              <w:jc w:val="right"/>
              <w:ind w:right="213"/>
              <w:spacing w:after="0"/>
              <w:rPr>
                <w:sz w:val="20"/>
                <w:szCs w:val="20"/>
                <w:color w:val="auto"/>
              </w:rPr>
            </w:pPr>
            <w:r>
              <w:rPr>
                <w:rFonts w:ascii="Arial" w:cs="Arial" w:eastAsia="Arial" w:hAnsi="Arial"/>
                <w:sz w:val="18"/>
                <w:szCs w:val="18"/>
                <w:b w:val="1"/>
                <w:bCs w:val="1"/>
                <w:color w:val="auto"/>
              </w:rPr>
              <w:t>56,595</w:t>
            </w:r>
          </w:p>
        </w:tc>
      </w:tr>
      <w:tr>
        <w:trPr>
          <w:trHeight w:val="20"/>
        </w:trPr>
        <w:tc>
          <w:tcPr>
            <w:tcW w:w="2260" w:type="dxa"/>
            <w:vAlign w:val="bottom"/>
            <w:shd w:val="clear" w:color="auto" w:fill="0065C1"/>
          </w:tcPr>
          <w:p>
            <w:pPr>
              <w:spacing w:after="0" w:line="20" w:lineRule="exact"/>
              <w:rPr>
                <w:sz w:val="1"/>
                <w:szCs w:val="1"/>
                <w:color w:val="auto"/>
              </w:rPr>
            </w:pPr>
          </w:p>
        </w:tc>
        <w:tc>
          <w:tcPr>
            <w:tcW w:w="1500" w:type="dxa"/>
            <w:vAlign w:val="bottom"/>
            <w:shd w:val="clear" w:color="auto" w:fill="0065C1"/>
          </w:tcPr>
          <w:p>
            <w:pPr>
              <w:spacing w:after="0" w:line="20" w:lineRule="exact"/>
              <w:rPr>
                <w:sz w:val="1"/>
                <w:szCs w:val="1"/>
                <w:color w:val="auto"/>
              </w:rPr>
            </w:pPr>
          </w:p>
        </w:tc>
        <w:tc>
          <w:tcPr>
            <w:tcW w:w="1620" w:type="dxa"/>
            <w:vAlign w:val="bottom"/>
            <w:shd w:val="clear" w:color="auto" w:fill="0065C1"/>
          </w:tcPr>
          <w:p>
            <w:pPr>
              <w:spacing w:after="0" w:line="20" w:lineRule="exact"/>
              <w:rPr>
                <w:sz w:val="1"/>
                <w:szCs w:val="1"/>
                <w:color w:val="auto"/>
              </w:rPr>
            </w:pPr>
          </w:p>
        </w:tc>
        <w:tc>
          <w:tcPr>
            <w:tcW w:w="1200" w:type="dxa"/>
            <w:vAlign w:val="bottom"/>
            <w:shd w:val="clear" w:color="auto" w:fill="0065C1"/>
          </w:tcPr>
          <w:p>
            <w:pPr>
              <w:spacing w:after="0" w:line="20" w:lineRule="exact"/>
              <w:rPr>
                <w:sz w:val="1"/>
                <w:szCs w:val="1"/>
                <w:color w:val="auto"/>
              </w:rPr>
            </w:pPr>
          </w:p>
        </w:tc>
        <w:tc>
          <w:tcPr>
            <w:tcW w:w="1140" w:type="dxa"/>
            <w:vAlign w:val="bottom"/>
            <w:shd w:val="clear" w:color="auto" w:fill="0065C1"/>
          </w:tcPr>
          <w:p>
            <w:pPr>
              <w:spacing w:after="0" w:line="20" w:lineRule="exact"/>
              <w:rPr>
                <w:sz w:val="1"/>
                <w:szCs w:val="1"/>
                <w:color w:val="auto"/>
              </w:rPr>
            </w:pPr>
          </w:p>
        </w:tc>
        <w:tc>
          <w:tcPr>
            <w:tcW w:w="1140" w:type="dxa"/>
            <w:vAlign w:val="bottom"/>
            <w:shd w:val="clear" w:color="auto" w:fill="0065C1"/>
          </w:tcPr>
          <w:p>
            <w:pPr>
              <w:spacing w:after="0" w:line="20" w:lineRule="exact"/>
              <w:rPr>
                <w:sz w:val="1"/>
                <w:szCs w:val="1"/>
                <w:color w:val="auto"/>
              </w:rPr>
            </w:pPr>
          </w:p>
        </w:tc>
      </w:tr>
    </w:tbl>
    <w:p>
      <w:pPr>
        <w:spacing w:after="0" w:line="90" w:lineRule="exact"/>
        <w:rPr>
          <w:sz w:val="20"/>
          <w:szCs w:val="20"/>
          <w:color w:val="auto"/>
        </w:rPr>
      </w:pPr>
    </w:p>
    <w:p>
      <w:pPr>
        <w:ind w:left="360" w:hanging="284"/>
        <w:spacing w:after="0"/>
        <w:tabs>
          <w:tab w:leader="none" w:pos="360" w:val="left"/>
        </w:tabs>
        <w:numPr>
          <w:ilvl w:val="0"/>
          <w:numId w:val="6"/>
        </w:numPr>
        <w:rPr>
          <w:rFonts w:ascii="Arial" w:cs="Arial" w:eastAsia="Arial" w:hAnsi="Arial"/>
          <w:sz w:val="16"/>
          <w:szCs w:val="16"/>
          <w:color w:val="auto"/>
        </w:rPr>
      </w:pPr>
      <w:r>
        <w:rPr>
          <w:rFonts w:ascii="Arial" w:cs="Arial" w:eastAsia="Arial" w:hAnsi="Arial"/>
          <w:sz w:val="16"/>
          <w:szCs w:val="16"/>
          <w:color w:val="auto"/>
        </w:rPr>
        <w:t>Less than one percent of the outstanding class E shares.</w:t>
      </w:r>
    </w:p>
    <w:p>
      <w:pPr>
        <w:spacing w:after="0" w:line="59" w:lineRule="exact"/>
        <w:rPr>
          <w:sz w:val="20"/>
          <w:szCs w:val="20"/>
          <w:color w:val="auto"/>
        </w:rPr>
      </w:pPr>
    </w:p>
    <w:p>
      <w:pPr>
        <w:ind w:left="360" w:right="99" w:hanging="284"/>
        <w:spacing w:after="0" w:line="281" w:lineRule="auto"/>
        <w:tabs>
          <w:tab w:leader="none" w:pos="360" w:val="left"/>
        </w:tabs>
        <w:numPr>
          <w:ilvl w:val="0"/>
          <w:numId w:val="7"/>
        </w:numPr>
        <w:rPr>
          <w:rFonts w:ascii="Arial" w:cs="Arial" w:eastAsia="Arial" w:hAnsi="Arial"/>
          <w:sz w:val="16"/>
          <w:szCs w:val="16"/>
          <w:color w:val="auto"/>
        </w:rPr>
      </w:pPr>
      <w:r>
        <w:rPr>
          <w:rFonts w:ascii="Arial" w:cs="Arial" w:eastAsia="Arial" w:hAnsi="Arial"/>
          <w:sz w:val="16"/>
          <w:szCs w:val="16"/>
          <w:color w:val="auto"/>
        </w:rPr>
        <w:t>Includes shares purchased by the executive and restricted stock units vested and transferred to the executive as of such date.</w:t>
      </w:r>
    </w:p>
    <w:p>
      <w:pPr>
        <w:spacing w:after="0" w:line="1" w:lineRule="exact"/>
        <w:rPr>
          <w:rFonts w:ascii="Arial" w:cs="Arial" w:eastAsia="Arial" w:hAnsi="Arial"/>
          <w:sz w:val="16"/>
          <w:szCs w:val="16"/>
          <w:color w:val="auto"/>
        </w:rPr>
      </w:pPr>
    </w:p>
    <w:p>
      <w:pPr>
        <w:ind w:left="360" w:right="79" w:hanging="284"/>
        <w:spacing w:after="0" w:line="281" w:lineRule="auto"/>
        <w:tabs>
          <w:tab w:leader="none" w:pos="360" w:val="left"/>
        </w:tabs>
        <w:numPr>
          <w:ilvl w:val="0"/>
          <w:numId w:val="7"/>
        </w:numPr>
        <w:rPr>
          <w:rFonts w:ascii="Arial" w:cs="Arial" w:eastAsia="Arial" w:hAnsi="Arial"/>
          <w:sz w:val="16"/>
          <w:szCs w:val="16"/>
          <w:color w:val="auto"/>
        </w:rPr>
      </w:pPr>
      <w:r>
        <w:rPr>
          <w:rFonts w:ascii="Arial" w:cs="Arial" w:eastAsia="Arial" w:hAnsi="Arial"/>
          <w:sz w:val="16"/>
          <w:szCs w:val="16"/>
          <w:color w:val="auto"/>
        </w:rPr>
        <w:t>Includes vested traditional stock options, as well as options, restricted stock units that will vest within 60 days of December 31, 2020.</w:t>
      </w:r>
    </w:p>
    <w:p>
      <w:pPr>
        <w:spacing w:after="0" w:line="1" w:lineRule="exact"/>
        <w:rPr>
          <w:rFonts w:ascii="Arial" w:cs="Arial" w:eastAsia="Arial" w:hAnsi="Arial"/>
          <w:sz w:val="16"/>
          <w:szCs w:val="16"/>
          <w:color w:val="auto"/>
        </w:rPr>
      </w:pPr>
    </w:p>
    <w:p>
      <w:pPr>
        <w:jc w:val="both"/>
        <w:ind w:left="360" w:right="99" w:hanging="284"/>
        <w:spacing w:after="0" w:line="261" w:lineRule="auto"/>
        <w:tabs>
          <w:tab w:leader="none" w:pos="360" w:val="left"/>
        </w:tabs>
        <w:numPr>
          <w:ilvl w:val="0"/>
          <w:numId w:val="7"/>
        </w:numPr>
        <w:rPr>
          <w:rFonts w:ascii="Arial" w:cs="Arial" w:eastAsia="Arial" w:hAnsi="Arial"/>
          <w:sz w:val="16"/>
          <w:szCs w:val="16"/>
          <w:color w:val="auto"/>
        </w:rPr>
      </w:pPr>
      <w:r>
        <w:rPr>
          <w:rFonts w:ascii="Arial" w:cs="Arial" w:eastAsia="Arial" w:hAnsi="Arial"/>
          <w:sz w:val="16"/>
          <w:szCs w:val="16"/>
          <w:color w:val="auto"/>
        </w:rPr>
        <w:t>Includes 51,829, 23,743 and 23,412 unvested restricted stock units granted to executive officers on February 2020, February 2019 and February 2018, under the 2015 Plan, respectively. These restricted stock units vest 25% each year on the relevant grant date’s anniversary. Any unvested portion of the grants referenced above that will not vest within 60 days of December 31, 2020, is not deemed to be beneficially owned by the individuals listed in the 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120650</wp:posOffset>
            </wp:positionV>
            <wp:extent cx="5623560" cy="825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206375</wp:posOffset>
            </wp:positionV>
            <wp:extent cx="411480" cy="17970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20" w:lineRule="exact"/>
        <w:rPr>
          <w:sz w:val="20"/>
          <w:szCs w:val="20"/>
          <w:color w:val="auto"/>
        </w:rPr>
      </w:pPr>
    </w:p>
    <w:p>
      <w:pPr>
        <w:ind w:left="6600"/>
        <w:spacing w:after="0"/>
        <w:tabs>
          <w:tab w:leader="none" w:pos="8720" w:val="left"/>
        </w:tabs>
        <w:rPr>
          <w:sz w:val="20"/>
          <w:szCs w:val="20"/>
          <w:color w:val="auto"/>
        </w:rPr>
      </w:pPr>
      <w:r>
        <w:rPr>
          <w:rFonts w:ascii="Arial" w:cs="Arial" w:eastAsia="Arial" w:hAnsi="Arial"/>
          <w:sz w:val="18"/>
          <w:szCs w:val="18"/>
          <w:b w:val="1"/>
          <w:bCs w:val="1"/>
          <w:color w:val="auto"/>
        </w:rPr>
        <w:t>Proxy Statement 2021</w:t>
      </w:r>
      <w:r>
        <w:rPr>
          <w:sz w:val="20"/>
          <w:szCs w:val="20"/>
          <w:color w:val="auto"/>
        </w:rPr>
        <w:tab/>
      </w:r>
      <w:r>
        <w:rPr>
          <w:rFonts w:ascii="Arial" w:cs="Arial" w:eastAsia="Arial" w:hAnsi="Arial"/>
          <w:sz w:val="17"/>
          <w:szCs w:val="17"/>
          <w:b w:val="1"/>
          <w:bCs w:val="1"/>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32" w:name="page33"/>
    <w:bookmarkEnd w:id="32"/>
    <w:p>
      <w:pPr>
        <w:ind w:left="80" w:right="539"/>
        <w:spacing w:after="0" w:line="251" w:lineRule="auto"/>
        <w:rPr>
          <w:sz w:val="20"/>
          <w:szCs w:val="20"/>
          <w:color w:val="auto"/>
        </w:rPr>
      </w:pPr>
      <w:r>
        <w:rPr>
          <w:rFonts w:ascii="Arial" w:cs="Arial" w:eastAsia="Arial" w:hAnsi="Arial"/>
          <w:sz w:val="22"/>
          <w:szCs w:val="22"/>
          <w:color w:val="0065C1"/>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182880</wp:posOffset>
            </wp:positionV>
            <wp:extent cx="5623560" cy="825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200" w:lineRule="exact"/>
        <w:rPr>
          <w:sz w:val="20"/>
          <w:szCs w:val="20"/>
          <w:color w:val="auto"/>
        </w:rPr>
      </w:pPr>
    </w:p>
    <w:p>
      <w:pPr>
        <w:spacing w:after="0" w:line="397" w:lineRule="exact"/>
        <w:rPr>
          <w:sz w:val="20"/>
          <w:szCs w:val="20"/>
          <w:color w:val="auto"/>
        </w:rPr>
      </w:pPr>
    </w:p>
    <w:p>
      <w:pPr>
        <w:jc w:val="both"/>
        <w:ind w:left="80" w:right="99"/>
        <w:spacing w:after="0" w:line="255" w:lineRule="auto"/>
        <w:rPr>
          <w:sz w:val="20"/>
          <w:szCs w:val="20"/>
          <w:color w:val="auto"/>
        </w:rPr>
      </w:pPr>
      <w:r>
        <w:rPr>
          <w:rFonts w:ascii="Arial" w:cs="Arial" w:eastAsia="Arial" w:hAnsi="Arial"/>
          <w:sz w:val="18"/>
          <w:szCs w:val="18"/>
          <w:color w:val="auto"/>
        </w:rPr>
        <w:t>The following table sets forth information regarding beneficial ownership of the Bank’s Class E shares, including restricted shares and holdings of unvested restricted shares and unvested stock options by members of the Bank’s Board, as of December 31, 2020:</w:t>
      </w:r>
    </w:p>
    <w:p>
      <w:pPr>
        <w:spacing w:after="0" w:line="52" w:lineRule="exact"/>
        <w:rPr>
          <w:sz w:val="20"/>
          <w:szCs w:val="20"/>
          <w:color w:val="auto"/>
        </w:rPr>
      </w:pPr>
    </w:p>
    <w:tbl>
      <w:tblPr>
        <w:tblLayout w:type="fixed"/>
        <w:tblInd w:w="80" w:type="dxa"/>
        <w:tblCellMar>
          <w:top w:w="0" w:type="dxa"/>
          <w:left w:w="0" w:type="dxa"/>
          <w:bottom w:w="0" w:type="dxa"/>
          <w:right w:w="0" w:type="dxa"/>
        </w:tblCellMar>
      </w:tblPr>
      <w:tr>
        <w:trPr>
          <w:trHeight w:val="277"/>
        </w:trPr>
        <w:tc>
          <w:tcPr>
            <w:tcW w:w="2900" w:type="dxa"/>
            <w:vAlign w:val="bottom"/>
            <w:shd w:val="clear" w:color="auto" w:fill="0065C1"/>
          </w:tcPr>
          <w:p>
            <w:pPr>
              <w:spacing w:after="0"/>
              <w:rPr>
                <w:sz w:val="24"/>
                <w:szCs w:val="24"/>
                <w:color w:val="auto"/>
              </w:rPr>
            </w:pPr>
          </w:p>
        </w:tc>
        <w:tc>
          <w:tcPr>
            <w:tcW w:w="1340" w:type="dxa"/>
            <w:vAlign w:val="bottom"/>
            <w:shd w:val="clear" w:color="auto" w:fill="0065C1"/>
          </w:tcPr>
          <w:p>
            <w:pPr>
              <w:spacing w:after="0"/>
              <w:rPr>
                <w:sz w:val="24"/>
                <w:szCs w:val="24"/>
                <w:color w:val="auto"/>
              </w:rPr>
            </w:pPr>
          </w:p>
        </w:tc>
        <w:tc>
          <w:tcPr>
            <w:tcW w:w="148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Number of</w:t>
            </w:r>
          </w:p>
        </w:tc>
        <w:tc>
          <w:tcPr>
            <w:tcW w:w="1100" w:type="dxa"/>
            <w:vAlign w:val="bottom"/>
            <w:shd w:val="clear" w:color="auto" w:fill="0065C1"/>
          </w:tcPr>
          <w:p>
            <w:pPr>
              <w:spacing w:after="0"/>
              <w:rPr>
                <w:sz w:val="24"/>
                <w:szCs w:val="24"/>
                <w:color w:val="auto"/>
              </w:rPr>
            </w:pPr>
          </w:p>
        </w:tc>
        <w:tc>
          <w:tcPr>
            <w:tcW w:w="1080" w:type="dxa"/>
            <w:vAlign w:val="bottom"/>
            <w:shd w:val="clear" w:color="auto" w:fill="0065C1"/>
          </w:tcPr>
          <w:p>
            <w:pPr>
              <w:spacing w:after="0"/>
              <w:rPr>
                <w:sz w:val="24"/>
                <w:szCs w:val="24"/>
                <w:color w:val="auto"/>
              </w:rPr>
            </w:pPr>
          </w:p>
        </w:tc>
        <w:tc>
          <w:tcPr>
            <w:tcW w:w="960" w:type="dxa"/>
            <w:vAlign w:val="bottom"/>
            <w:shd w:val="clear" w:color="auto" w:fill="0065C1"/>
          </w:tcPr>
          <w:p>
            <w:pPr>
              <w:spacing w:after="0"/>
              <w:rPr>
                <w:sz w:val="24"/>
                <w:szCs w:val="24"/>
                <w:color w:val="auto"/>
              </w:rPr>
            </w:pPr>
          </w:p>
        </w:tc>
      </w:tr>
      <w:tr>
        <w:trPr>
          <w:trHeight w:val="189"/>
        </w:trPr>
        <w:tc>
          <w:tcPr>
            <w:tcW w:w="2900" w:type="dxa"/>
            <w:vAlign w:val="bottom"/>
            <w:shd w:val="clear" w:color="auto" w:fill="0065C1"/>
          </w:tcPr>
          <w:p>
            <w:pPr>
              <w:spacing w:after="0"/>
              <w:rPr>
                <w:sz w:val="16"/>
                <w:szCs w:val="16"/>
                <w:color w:val="auto"/>
              </w:rPr>
            </w:pPr>
          </w:p>
        </w:tc>
        <w:tc>
          <w:tcPr>
            <w:tcW w:w="134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Number of</w:t>
            </w:r>
          </w:p>
        </w:tc>
        <w:tc>
          <w:tcPr>
            <w:tcW w:w="148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Shares that may</w:t>
            </w:r>
          </w:p>
        </w:tc>
        <w:tc>
          <w:tcPr>
            <w:tcW w:w="11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Total</w:t>
            </w:r>
          </w:p>
        </w:tc>
        <w:tc>
          <w:tcPr>
            <w:tcW w:w="1080" w:type="dxa"/>
            <w:vAlign w:val="bottom"/>
            <w:shd w:val="clear" w:color="auto" w:fill="0065C1"/>
          </w:tcPr>
          <w:p>
            <w:pPr>
              <w:spacing w:after="0"/>
              <w:rPr>
                <w:sz w:val="16"/>
                <w:szCs w:val="16"/>
                <w:color w:val="auto"/>
              </w:rPr>
            </w:pPr>
          </w:p>
        </w:tc>
        <w:tc>
          <w:tcPr>
            <w:tcW w:w="960" w:type="dxa"/>
            <w:vAlign w:val="bottom"/>
            <w:shd w:val="clear" w:color="auto" w:fill="0065C1"/>
          </w:tcPr>
          <w:p>
            <w:pPr>
              <w:spacing w:after="0"/>
              <w:rPr>
                <w:sz w:val="16"/>
                <w:szCs w:val="16"/>
                <w:color w:val="auto"/>
              </w:rPr>
            </w:pPr>
          </w:p>
        </w:tc>
      </w:tr>
      <w:tr>
        <w:trPr>
          <w:trHeight w:val="189"/>
        </w:trPr>
        <w:tc>
          <w:tcPr>
            <w:tcW w:w="2900" w:type="dxa"/>
            <w:vAlign w:val="bottom"/>
            <w:shd w:val="clear" w:color="auto" w:fill="0065C1"/>
          </w:tcPr>
          <w:p>
            <w:pPr>
              <w:spacing w:after="0"/>
              <w:rPr>
                <w:sz w:val="16"/>
                <w:szCs w:val="16"/>
                <w:color w:val="auto"/>
              </w:rPr>
            </w:pPr>
          </w:p>
        </w:tc>
        <w:tc>
          <w:tcPr>
            <w:tcW w:w="134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Shares</w:t>
            </w:r>
          </w:p>
        </w:tc>
        <w:tc>
          <w:tcPr>
            <w:tcW w:w="148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be acquired</w:t>
            </w:r>
          </w:p>
        </w:tc>
        <w:tc>
          <w:tcPr>
            <w:tcW w:w="11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Number of</w:t>
            </w:r>
          </w:p>
        </w:tc>
        <w:tc>
          <w:tcPr>
            <w:tcW w:w="108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Percent of</w:t>
            </w:r>
          </w:p>
        </w:tc>
        <w:tc>
          <w:tcPr>
            <w:tcW w:w="960" w:type="dxa"/>
            <w:vAlign w:val="bottom"/>
            <w:shd w:val="clear" w:color="auto" w:fill="0065C1"/>
          </w:tcPr>
          <w:p>
            <w:pPr>
              <w:spacing w:after="0"/>
              <w:rPr>
                <w:sz w:val="16"/>
                <w:szCs w:val="16"/>
                <w:color w:val="auto"/>
              </w:rPr>
            </w:pPr>
          </w:p>
        </w:tc>
      </w:tr>
      <w:tr>
        <w:trPr>
          <w:trHeight w:val="189"/>
        </w:trPr>
        <w:tc>
          <w:tcPr>
            <w:tcW w:w="2900" w:type="dxa"/>
            <w:vAlign w:val="bottom"/>
            <w:shd w:val="clear" w:color="auto" w:fill="0065C1"/>
          </w:tcPr>
          <w:p>
            <w:pPr>
              <w:spacing w:after="0"/>
              <w:rPr>
                <w:sz w:val="16"/>
                <w:szCs w:val="16"/>
                <w:color w:val="auto"/>
              </w:rPr>
            </w:pPr>
          </w:p>
        </w:tc>
        <w:tc>
          <w:tcPr>
            <w:tcW w:w="134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Owned</w:t>
            </w:r>
          </w:p>
        </w:tc>
        <w:tc>
          <w:tcPr>
            <w:tcW w:w="148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within 60 days</w:t>
            </w:r>
          </w:p>
        </w:tc>
        <w:tc>
          <w:tcPr>
            <w:tcW w:w="11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Shares</w:t>
            </w:r>
          </w:p>
        </w:tc>
        <w:tc>
          <w:tcPr>
            <w:tcW w:w="108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Class</w:t>
            </w:r>
          </w:p>
        </w:tc>
        <w:tc>
          <w:tcPr>
            <w:tcW w:w="960" w:type="dxa"/>
            <w:vAlign w:val="bottom"/>
            <w:shd w:val="clear" w:color="auto" w:fill="0065C1"/>
          </w:tcPr>
          <w:p>
            <w:pPr>
              <w:spacing w:after="0"/>
              <w:rPr>
                <w:sz w:val="16"/>
                <w:szCs w:val="16"/>
                <w:color w:val="auto"/>
              </w:rPr>
            </w:pPr>
          </w:p>
        </w:tc>
      </w:tr>
      <w:tr>
        <w:trPr>
          <w:trHeight w:val="177"/>
        </w:trPr>
        <w:tc>
          <w:tcPr>
            <w:tcW w:w="2900" w:type="dxa"/>
            <w:vAlign w:val="bottom"/>
            <w:shd w:val="clear" w:color="auto" w:fill="0065C1"/>
          </w:tcPr>
          <w:p>
            <w:pPr>
              <w:spacing w:after="0"/>
              <w:rPr>
                <w:sz w:val="15"/>
                <w:szCs w:val="15"/>
                <w:color w:val="auto"/>
              </w:rPr>
            </w:pPr>
          </w:p>
        </w:tc>
        <w:tc>
          <w:tcPr>
            <w:tcW w:w="1340" w:type="dxa"/>
            <w:vAlign w:val="bottom"/>
            <w:shd w:val="clear" w:color="auto" w:fill="0065C1"/>
          </w:tcPr>
          <w:p>
            <w:pPr>
              <w:jc w:val="center"/>
              <w:ind w:left="13"/>
              <w:spacing w:after="0" w:line="177" w:lineRule="exact"/>
              <w:rPr>
                <w:sz w:val="20"/>
                <w:szCs w:val="20"/>
                <w:color w:val="auto"/>
              </w:rPr>
            </w:pPr>
            <w:r>
              <w:rPr>
                <w:rFonts w:ascii="Arial" w:cs="Arial" w:eastAsia="Arial" w:hAnsi="Arial"/>
                <w:sz w:val="16"/>
                <w:szCs w:val="16"/>
                <w:b w:val="1"/>
                <w:bCs w:val="1"/>
                <w:color w:val="FFFFFF"/>
              </w:rPr>
              <w:t>as of Dec. 31,</w:t>
            </w:r>
          </w:p>
        </w:tc>
        <w:tc>
          <w:tcPr>
            <w:tcW w:w="148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as of Dec. 31,</w:t>
            </w:r>
          </w:p>
        </w:tc>
        <w:tc>
          <w:tcPr>
            <w:tcW w:w="110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Beneficially</w:t>
            </w:r>
          </w:p>
        </w:tc>
        <w:tc>
          <w:tcPr>
            <w:tcW w:w="108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Beneficially</w:t>
            </w:r>
          </w:p>
        </w:tc>
        <w:tc>
          <w:tcPr>
            <w:tcW w:w="960" w:type="dxa"/>
            <w:vAlign w:val="bottom"/>
            <w:shd w:val="clear" w:color="auto" w:fill="0065C1"/>
          </w:tcPr>
          <w:p>
            <w:pPr>
              <w:jc w:val="right"/>
              <w:spacing w:after="0" w:line="177" w:lineRule="exact"/>
              <w:rPr>
                <w:sz w:val="20"/>
                <w:szCs w:val="20"/>
                <w:color w:val="auto"/>
              </w:rPr>
            </w:pPr>
            <w:r>
              <w:rPr>
                <w:rFonts w:ascii="Arial" w:cs="Arial" w:eastAsia="Arial" w:hAnsi="Arial"/>
                <w:sz w:val="16"/>
                <w:szCs w:val="16"/>
                <w:b w:val="1"/>
                <w:bCs w:val="1"/>
                <w:color w:val="FFFFFF"/>
              </w:rPr>
              <w:t>Restricted</w:t>
            </w:r>
          </w:p>
        </w:tc>
      </w:tr>
      <w:tr>
        <w:trPr>
          <w:trHeight w:val="275"/>
        </w:trPr>
        <w:tc>
          <w:tcPr>
            <w:tcW w:w="2900" w:type="dxa"/>
            <w:vAlign w:val="bottom"/>
            <w:shd w:val="clear" w:color="auto" w:fill="0065C1"/>
          </w:tcPr>
          <w:p>
            <w:pPr>
              <w:ind w:left="100"/>
              <w:spacing w:after="0"/>
              <w:rPr>
                <w:sz w:val="20"/>
                <w:szCs w:val="20"/>
                <w:color w:val="auto"/>
              </w:rPr>
            </w:pPr>
            <w:r>
              <w:rPr>
                <w:rFonts w:ascii="Arial" w:cs="Arial" w:eastAsia="Arial" w:hAnsi="Arial"/>
                <w:sz w:val="16"/>
                <w:szCs w:val="16"/>
                <w:b w:val="1"/>
                <w:bCs w:val="1"/>
                <w:color w:val="FFFFFF"/>
              </w:rPr>
              <w:t>Name</w:t>
            </w:r>
          </w:p>
        </w:tc>
        <w:tc>
          <w:tcPr>
            <w:tcW w:w="1340" w:type="dxa"/>
            <w:vAlign w:val="bottom"/>
            <w:shd w:val="clear" w:color="auto" w:fill="0065C1"/>
          </w:tcPr>
          <w:p>
            <w:pPr>
              <w:jc w:val="center"/>
              <w:ind w:left="13"/>
              <w:spacing w:after="0" w:line="275" w:lineRule="exact"/>
              <w:rPr>
                <w:sz w:val="20"/>
                <w:szCs w:val="20"/>
                <w:color w:val="auto"/>
              </w:rPr>
            </w:pPr>
            <w:r>
              <w:rPr>
                <w:rFonts w:ascii="Arial" w:cs="Arial" w:eastAsia="Arial" w:hAnsi="Arial"/>
                <w:sz w:val="16"/>
                <w:szCs w:val="16"/>
                <w:b w:val="1"/>
                <w:bCs w:val="1"/>
                <w:color w:val="FFFFFF"/>
                <w:w w:val="91"/>
              </w:rPr>
              <w:t>2020</w:t>
            </w:r>
            <w:r>
              <w:rPr>
                <w:rFonts w:ascii="Arial" w:cs="Arial" w:eastAsia="Arial" w:hAnsi="Arial"/>
                <w:sz w:val="26"/>
                <w:szCs w:val="26"/>
                <w:b w:val="1"/>
                <w:bCs w:val="1"/>
                <w:color w:val="FFFFFF"/>
                <w:w w:val="91"/>
                <w:vertAlign w:val="superscript"/>
              </w:rPr>
              <w:t>(1)</w:t>
            </w:r>
          </w:p>
        </w:tc>
        <w:tc>
          <w:tcPr>
            <w:tcW w:w="1480" w:type="dxa"/>
            <w:vAlign w:val="bottom"/>
            <w:shd w:val="clear" w:color="auto" w:fill="0065C1"/>
          </w:tcPr>
          <w:p>
            <w:pPr>
              <w:jc w:val="center"/>
              <w:spacing w:after="0" w:line="275" w:lineRule="exact"/>
              <w:rPr>
                <w:sz w:val="20"/>
                <w:szCs w:val="20"/>
                <w:color w:val="auto"/>
              </w:rPr>
            </w:pPr>
            <w:r>
              <w:rPr>
                <w:rFonts w:ascii="Arial" w:cs="Arial" w:eastAsia="Arial" w:hAnsi="Arial"/>
                <w:sz w:val="16"/>
                <w:szCs w:val="16"/>
                <w:b w:val="1"/>
                <w:bCs w:val="1"/>
                <w:color w:val="FFFFFF"/>
                <w:w w:val="91"/>
              </w:rPr>
              <w:t>2020</w:t>
            </w:r>
            <w:r>
              <w:rPr>
                <w:rFonts w:ascii="Arial" w:cs="Arial" w:eastAsia="Arial" w:hAnsi="Arial"/>
                <w:sz w:val="26"/>
                <w:szCs w:val="26"/>
                <w:b w:val="1"/>
                <w:bCs w:val="1"/>
                <w:color w:val="FFFFFF"/>
                <w:w w:val="91"/>
                <w:vertAlign w:val="superscript"/>
              </w:rPr>
              <w:t>(2)</w:t>
            </w:r>
          </w:p>
        </w:tc>
        <w:tc>
          <w:tcPr>
            <w:tcW w:w="11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Owned</w:t>
            </w:r>
          </w:p>
        </w:tc>
        <w:tc>
          <w:tcPr>
            <w:tcW w:w="108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Owned</w:t>
            </w:r>
          </w:p>
        </w:tc>
        <w:tc>
          <w:tcPr>
            <w:tcW w:w="960" w:type="dxa"/>
            <w:vAlign w:val="bottom"/>
            <w:shd w:val="clear" w:color="auto" w:fill="0065C1"/>
          </w:tcPr>
          <w:p>
            <w:pPr>
              <w:jc w:val="right"/>
              <w:ind w:right="11"/>
              <w:spacing w:after="0" w:line="275" w:lineRule="exact"/>
              <w:rPr>
                <w:sz w:val="20"/>
                <w:szCs w:val="20"/>
                <w:color w:val="auto"/>
              </w:rPr>
            </w:pPr>
            <w:r>
              <w:rPr>
                <w:rFonts w:ascii="Arial" w:cs="Arial" w:eastAsia="Arial" w:hAnsi="Arial"/>
                <w:sz w:val="16"/>
                <w:szCs w:val="16"/>
                <w:b w:val="1"/>
                <w:bCs w:val="1"/>
                <w:color w:val="FFFFFF"/>
              </w:rPr>
              <w:t>Shares</w:t>
            </w:r>
            <w:r>
              <w:rPr>
                <w:rFonts w:ascii="Arial" w:cs="Arial" w:eastAsia="Arial" w:hAnsi="Arial"/>
                <w:sz w:val="26"/>
                <w:szCs w:val="26"/>
                <w:b w:val="1"/>
                <w:bCs w:val="1"/>
                <w:color w:val="FFFFFF"/>
                <w:vertAlign w:val="superscript"/>
              </w:rPr>
              <w:t>(3)</w:t>
            </w:r>
          </w:p>
        </w:tc>
      </w:tr>
      <w:tr>
        <w:trPr>
          <w:trHeight w:val="290"/>
        </w:trPr>
        <w:tc>
          <w:tcPr>
            <w:tcW w:w="290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Alexandra M. Aguirre</w:t>
            </w:r>
          </w:p>
        </w:tc>
        <w:tc>
          <w:tcPr>
            <w:tcW w:w="1340" w:type="dxa"/>
            <w:vAlign w:val="bottom"/>
            <w:tcBorders>
              <w:bottom w:val="single" w:sz="8" w:color="D7E7F5"/>
            </w:tcBorders>
            <w:shd w:val="clear" w:color="auto" w:fill="D7E7F5"/>
          </w:tcPr>
          <w:p>
            <w:pPr>
              <w:jc w:val="right"/>
              <w:ind w:right="213"/>
              <w:spacing w:after="0"/>
              <w:rPr>
                <w:sz w:val="20"/>
                <w:szCs w:val="20"/>
                <w:color w:val="auto"/>
              </w:rPr>
            </w:pPr>
            <w:r>
              <w:rPr>
                <w:rFonts w:ascii="Arial" w:cs="Arial" w:eastAsia="Arial" w:hAnsi="Arial"/>
                <w:sz w:val="18"/>
                <w:szCs w:val="18"/>
                <w:color w:val="auto"/>
              </w:rPr>
              <w:t>—</w:t>
            </w:r>
          </w:p>
        </w:tc>
        <w:tc>
          <w:tcPr>
            <w:tcW w:w="148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w w:val="99"/>
              </w:rPr>
              <w:t>—</w:t>
            </w:r>
          </w:p>
        </w:tc>
        <w:tc>
          <w:tcPr>
            <w:tcW w:w="1100" w:type="dxa"/>
            <w:vAlign w:val="bottom"/>
            <w:tcBorders>
              <w:bottom w:val="single" w:sz="8" w:color="D7E7F5"/>
            </w:tcBorders>
            <w:shd w:val="clear" w:color="auto" w:fill="D7E7F5"/>
          </w:tcPr>
          <w:p>
            <w:pPr>
              <w:jc w:val="right"/>
              <w:ind w:right="153"/>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D7E7F5"/>
            </w:tcBorders>
            <w:shd w:val="clear" w:color="auto" w:fill="D7E7F5"/>
          </w:tcPr>
          <w:p>
            <w:pPr>
              <w:jc w:val="right"/>
              <w:ind w:right="51"/>
              <w:spacing w:after="0"/>
              <w:rPr>
                <w:sz w:val="20"/>
                <w:szCs w:val="20"/>
                <w:color w:val="auto"/>
              </w:rPr>
            </w:pPr>
            <w:r>
              <w:rPr>
                <w:rFonts w:ascii="Arial" w:cs="Arial" w:eastAsia="Arial" w:hAnsi="Arial"/>
                <w:sz w:val="18"/>
                <w:szCs w:val="18"/>
                <w:color w:val="auto"/>
              </w:rPr>
              <w:t>6,000</w:t>
            </w:r>
          </w:p>
        </w:tc>
      </w:tr>
      <w:tr>
        <w:trPr>
          <w:trHeight w:val="274"/>
        </w:trPr>
        <w:tc>
          <w:tcPr>
            <w:tcW w:w="2900" w:type="dxa"/>
            <w:vAlign w:val="bottom"/>
          </w:tcPr>
          <w:p>
            <w:pPr>
              <w:ind w:left="100"/>
              <w:spacing w:after="0"/>
              <w:rPr>
                <w:sz w:val="20"/>
                <w:szCs w:val="20"/>
                <w:color w:val="auto"/>
              </w:rPr>
            </w:pPr>
            <w:r>
              <w:rPr>
                <w:rFonts w:ascii="Arial" w:cs="Arial" w:eastAsia="Arial" w:hAnsi="Arial"/>
                <w:sz w:val="18"/>
                <w:szCs w:val="18"/>
                <w:color w:val="auto"/>
              </w:rPr>
              <w:t>Ricardo Manuel Arango</w:t>
            </w:r>
          </w:p>
        </w:tc>
        <w:tc>
          <w:tcPr>
            <w:tcW w:w="1340" w:type="dxa"/>
            <w:vAlign w:val="bottom"/>
          </w:tcPr>
          <w:p>
            <w:pPr>
              <w:jc w:val="right"/>
              <w:ind w:right="233"/>
              <w:spacing w:after="0"/>
              <w:rPr>
                <w:sz w:val="20"/>
                <w:szCs w:val="20"/>
                <w:color w:val="auto"/>
              </w:rPr>
            </w:pPr>
            <w:r>
              <w:rPr>
                <w:rFonts w:ascii="Arial" w:cs="Arial" w:eastAsia="Arial" w:hAnsi="Arial"/>
                <w:sz w:val="18"/>
                <w:szCs w:val="18"/>
                <w:color w:val="auto"/>
              </w:rPr>
              <w:t>31,175</w:t>
            </w:r>
          </w:p>
        </w:tc>
        <w:tc>
          <w:tcPr>
            <w:tcW w:w="148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100" w:type="dxa"/>
            <w:vAlign w:val="bottom"/>
          </w:tcPr>
          <w:p>
            <w:pPr>
              <w:jc w:val="right"/>
              <w:ind w:right="153"/>
              <w:spacing w:after="0"/>
              <w:rPr>
                <w:sz w:val="20"/>
                <w:szCs w:val="20"/>
                <w:color w:val="auto"/>
              </w:rPr>
            </w:pPr>
            <w:r>
              <w:rPr>
                <w:rFonts w:ascii="Arial" w:cs="Arial" w:eastAsia="Arial" w:hAnsi="Arial"/>
                <w:sz w:val="18"/>
                <w:szCs w:val="18"/>
                <w:color w:val="auto"/>
              </w:rPr>
              <w:t>31,175</w:t>
            </w:r>
          </w:p>
        </w:tc>
        <w:tc>
          <w:tcPr>
            <w:tcW w:w="1080" w:type="dxa"/>
            <w:vAlign w:val="bottom"/>
          </w:tcPr>
          <w:p>
            <w:pPr>
              <w:jc w:val="right"/>
              <w:ind w:right="393"/>
              <w:spacing w:after="0"/>
              <w:rPr>
                <w:sz w:val="20"/>
                <w:szCs w:val="20"/>
                <w:color w:val="auto"/>
              </w:rPr>
            </w:pPr>
            <w:r>
              <w:rPr>
                <w:rFonts w:ascii="Arial" w:cs="Arial" w:eastAsia="Arial" w:hAnsi="Arial"/>
                <w:sz w:val="18"/>
                <w:szCs w:val="18"/>
                <w:color w:val="auto"/>
              </w:rPr>
              <w:t>*</w:t>
            </w:r>
          </w:p>
        </w:tc>
        <w:tc>
          <w:tcPr>
            <w:tcW w:w="960" w:type="dxa"/>
            <w:vAlign w:val="bottom"/>
          </w:tcPr>
          <w:p>
            <w:pPr>
              <w:jc w:val="right"/>
              <w:ind w:right="51"/>
              <w:spacing w:after="0"/>
              <w:rPr>
                <w:sz w:val="20"/>
                <w:szCs w:val="20"/>
                <w:color w:val="auto"/>
              </w:rPr>
            </w:pPr>
            <w:r>
              <w:rPr>
                <w:rFonts w:ascii="Arial" w:cs="Arial" w:eastAsia="Arial" w:hAnsi="Arial"/>
                <w:sz w:val="18"/>
                <w:szCs w:val="18"/>
                <w:color w:val="auto"/>
              </w:rPr>
              <w:t>11,700</w:t>
            </w:r>
          </w:p>
        </w:tc>
      </w:tr>
      <w:tr>
        <w:trPr>
          <w:trHeight w:val="37"/>
        </w:trPr>
        <w:tc>
          <w:tcPr>
            <w:tcW w:w="2900" w:type="dxa"/>
            <w:vAlign w:val="bottom"/>
          </w:tcPr>
          <w:p>
            <w:pPr>
              <w:spacing w:after="0"/>
              <w:rPr>
                <w:sz w:val="3"/>
                <w:szCs w:val="3"/>
                <w:color w:val="auto"/>
              </w:rPr>
            </w:pPr>
          </w:p>
        </w:tc>
        <w:tc>
          <w:tcPr>
            <w:tcW w:w="1340" w:type="dxa"/>
            <w:vAlign w:val="bottom"/>
          </w:tcPr>
          <w:p>
            <w:pPr>
              <w:spacing w:after="0"/>
              <w:rPr>
                <w:sz w:val="3"/>
                <w:szCs w:val="3"/>
                <w:color w:val="auto"/>
              </w:rPr>
            </w:pPr>
          </w:p>
        </w:tc>
        <w:tc>
          <w:tcPr>
            <w:tcW w:w="1480" w:type="dxa"/>
            <w:vAlign w:val="bottom"/>
          </w:tcPr>
          <w:p>
            <w:pPr>
              <w:spacing w:after="0"/>
              <w:rPr>
                <w:sz w:val="3"/>
                <w:szCs w:val="3"/>
                <w:color w:val="auto"/>
              </w:rPr>
            </w:pPr>
          </w:p>
        </w:tc>
        <w:tc>
          <w:tcPr>
            <w:tcW w:w="1100" w:type="dxa"/>
            <w:vAlign w:val="bottom"/>
          </w:tcPr>
          <w:p>
            <w:pPr>
              <w:spacing w:after="0"/>
              <w:rPr>
                <w:sz w:val="3"/>
                <w:szCs w:val="3"/>
                <w:color w:val="auto"/>
              </w:rPr>
            </w:pPr>
          </w:p>
        </w:tc>
        <w:tc>
          <w:tcPr>
            <w:tcW w:w="1080" w:type="dxa"/>
            <w:vAlign w:val="bottom"/>
          </w:tcPr>
          <w:p>
            <w:pPr>
              <w:spacing w:after="0"/>
              <w:rPr>
                <w:sz w:val="3"/>
                <w:szCs w:val="3"/>
                <w:color w:val="auto"/>
              </w:rPr>
            </w:pPr>
          </w:p>
        </w:tc>
        <w:tc>
          <w:tcPr>
            <w:tcW w:w="960" w:type="dxa"/>
            <w:vAlign w:val="bottom"/>
          </w:tcPr>
          <w:p>
            <w:pPr>
              <w:spacing w:after="0"/>
              <w:rPr>
                <w:sz w:val="3"/>
                <w:szCs w:val="3"/>
                <w:color w:val="auto"/>
              </w:rPr>
            </w:pPr>
          </w:p>
        </w:tc>
      </w:tr>
      <w:tr>
        <w:trPr>
          <w:trHeight w:val="290"/>
        </w:trPr>
        <w:tc>
          <w:tcPr>
            <w:tcW w:w="290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Herminio A. Blanco</w:t>
            </w:r>
          </w:p>
        </w:tc>
        <w:tc>
          <w:tcPr>
            <w:tcW w:w="1340" w:type="dxa"/>
            <w:vAlign w:val="bottom"/>
            <w:tcBorders>
              <w:bottom w:val="single" w:sz="8" w:color="D7E7F5"/>
            </w:tcBorders>
            <w:shd w:val="clear" w:color="auto" w:fill="D7E7F5"/>
          </w:tcPr>
          <w:p>
            <w:pPr>
              <w:jc w:val="right"/>
              <w:ind w:right="233"/>
              <w:spacing w:after="0"/>
              <w:rPr>
                <w:sz w:val="20"/>
                <w:szCs w:val="20"/>
                <w:color w:val="auto"/>
              </w:rPr>
            </w:pPr>
            <w:r>
              <w:rPr>
                <w:rFonts w:ascii="Arial" w:cs="Arial" w:eastAsia="Arial" w:hAnsi="Arial"/>
                <w:sz w:val="18"/>
                <w:szCs w:val="18"/>
                <w:color w:val="auto"/>
              </w:rPr>
              <w:t>77,608</w:t>
            </w:r>
          </w:p>
        </w:tc>
        <w:tc>
          <w:tcPr>
            <w:tcW w:w="148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w w:val="99"/>
              </w:rPr>
              <w:t>—</w:t>
            </w:r>
          </w:p>
        </w:tc>
        <w:tc>
          <w:tcPr>
            <w:tcW w:w="1100" w:type="dxa"/>
            <w:vAlign w:val="bottom"/>
            <w:tcBorders>
              <w:bottom w:val="single" w:sz="8" w:color="D7E7F5"/>
            </w:tcBorders>
            <w:shd w:val="clear" w:color="auto" w:fill="D7E7F5"/>
          </w:tcPr>
          <w:p>
            <w:pPr>
              <w:jc w:val="right"/>
              <w:ind w:right="153"/>
              <w:spacing w:after="0"/>
              <w:rPr>
                <w:sz w:val="20"/>
                <w:szCs w:val="20"/>
                <w:color w:val="auto"/>
              </w:rPr>
            </w:pPr>
            <w:r>
              <w:rPr>
                <w:rFonts w:ascii="Arial" w:cs="Arial" w:eastAsia="Arial" w:hAnsi="Arial"/>
                <w:sz w:val="18"/>
                <w:szCs w:val="18"/>
                <w:color w:val="auto"/>
              </w:rPr>
              <w:t>77,608</w:t>
            </w:r>
          </w:p>
        </w:tc>
        <w:tc>
          <w:tcPr>
            <w:tcW w:w="108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D7E7F5"/>
            </w:tcBorders>
            <w:shd w:val="clear" w:color="auto" w:fill="D7E7F5"/>
          </w:tcPr>
          <w:p>
            <w:pPr>
              <w:jc w:val="right"/>
              <w:ind w:right="51"/>
              <w:spacing w:after="0"/>
              <w:rPr>
                <w:sz w:val="20"/>
                <w:szCs w:val="20"/>
                <w:color w:val="auto"/>
              </w:rPr>
            </w:pPr>
            <w:r>
              <w:rPr>
                <w:rFonts w:ascii="Arial" w:cs="Arial" w:eastAsia="Arial" w:hAnsi="Arial"/>
                <w:sz w:val="18"/>
                <w:szCs w:val="18"/>
                <w:color w:val="auto"/>
              </w:rPr>
              <w:t>11,700</w:t>
            </w:r>
          </w:p>
        </w:tc>
      </w:tr>
      <w:tr>
        <w:trPr>
          <w:trHeight w:val="274"/>
        </w:trPr>
        <w:tc>
          <w:tcPr>
            <w:tcW w:w="2900" w:type="dxa"/>
            <w:vAlign w:val="bottom"/>
          </w:tcPr>
          <w:p>
            <w:pPr>
              <w:ind w:left="100"/>
              <w:spacing w:after="0"/>
              <w:rPr>
                <w:sz w:val="20"/>
                <w:szCs w:val="20"/>
                <w:color w:val="auto"/>
              </w:rPr>
            </w:pPr>
            <w:r>
              <w:rPr>
                <w:rFonts w:ascii="Arial" w:cs="Arial" w:eastAsia="Arial" w:hAnsi="Arial"/>
                <w:sz w:val="18"/>
                <w:szCs w:val="18"/>
                <w:color w:val="auto"/>
              </w:rPr>
              <w:t>Isela Costantini</w:t>
            </w:r>
          </w:p>
        </w:tc>
        <w:tc>
          <w:tcPr>
            <w:tcW w:w="1340" w:type="dxa"/>
            <w:vAlign w:val="bottom"/>
          </w:tcPr>
          <w:p>
            <w:pPr>
              <w:jc w:val="right"/>
              <w:ind w:right="213"/>
              <w:spacing w:after="0"/>
              <w:rPr>
                <w:sz w:val="20"/>
                <w:szCs w:val="20"/>
                <w:color w:val="auto"/>
              </w:rPr>
            </w:pPr>
            <w:r>
              <w:rPr>
                <w:rFonts w:ascii="Arial" w:cs="Arial" w:eastAsia="Arial" w:hAnsi="Arial"/>
                <w:sz w:val="18"/>
                <w:szCs w:val="18"/>
                <w:color w:val="auto"/>
              </w:rPr>
              <w:t>—</w:t>
            </w:r>
          </w:p>
        </w:tc>
        <w:tc>
          <w:tcPr>
            <w:tcW w:w="148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100" w:type="dxa"/>
            <w:vAlign w:val="bottom"/>
          </w:tcPr>
          <w:p>
            <w:pPr>
              <w:jc w:val="right"/>
              <w:ind w:right="153"/>
              <w:spacing w:after="0"/>
              <w:rPr>
                <w:sz w:val="20"/>
                <w:szCs w:val="20"/>
                <w:color w:val="auto"/>
              </w:rPr>
            </w:pPr>
            <w:r>
              <w:rPr>
                <w:rFonts w:ascii="Arial" w:cs="Arial" w:eastAsia="Arial" w:hAnsi="Arial"/>
                <w:sz w:val="18"/>
                <w:szCs w:val="18"/>
                <w:color w:val="auto"/>
              </w:rPr>
              <w:t>—</w:t>
            </w:r>
          </w:p>
        </w:tc>
        <w:tc>
          <w:tcPr>
            <w:tcW w:w="1080" w:type="dxa"/>
            <w:vAlign w:val="bottom"/>
          </w:tcPr>
          <w:p>
            <w:pPr>
              <w:jc w:val="right"/>
              <w:ind w:right="393"/>
              <w:spacing w:after="0"/>
              <w:rPr>
                <w:sz w:val="20"/>
                <w:szCs w:val="20"/>
                <w:color w:val="auto"/>
              </w:rPr>
            </w:pPr>
            <w:r>
              <w:rPr>
                <w:rFonts w:ascii="Arial" w:cs="Arial" w:eastAsia="Arial" w:hAnsi="Arial"/>
                <w:sz w:val="18"/>
                <w:szCs w:val="18"/>
                <w:color w:val="auto"/>
              </w:rPr>
              <w:t>*</w:t>
            </w:r>
          </w:p>
        </w:tc>
        <w:tc>
          <w:tcPr>
            <w:tcW w:w="960" w:type="dxa"/>
            <w:vAlign w:val="bottom"/>
          </w:tcPr>
          <w:p>
            <w:pPr>
              <w:jc w:val="right"/>
              <w:ind w:right="51"/>
              <w:spacing w:after="0"/>
              <w:rPr>
                <w:sz w:val="20"/>
                <w:szCs w:val="20"/>
                <w:color w:val="auto"/>
              </w:rPr>
            </w:pPr>
            <w:r>
              <w:rPr>
                <w:rFonts w:ascii="Arial" w:cs="Arial" w:eastAsia="Arial" w:hAnsi="Arial"/>
                <w:sz w:val="18"/>
                <w:szCs w:val="18"/>
                <w:color w:val="auto"/>
              </w:rPr>
              <w:t>6,000</w:t>
            </w:r>
          </w:p>
        </w:tc>
      </w:tr>
      <w:tr>
        <w:trPr>
          <w:trHeight w:val="36"/>
        </w:trPr>
        <w:tc>
          <w:tcPr>
            <w:tcW w:w="2900" w:type="dxa"/>
            <w:vAlign w:val="bottom"/>
          </w:tcPr>
          <w:p>
            <w:pPr>
              <w:spacing w:after="0"/>
              <w:rPr>
                <w:sz w:val="3"/>
                <w:szCs w:val="3"/>
                <w:color w:val="auto"/>
              </w:rPr>
            </w:pPr>
          </w:p>
        </w:tc>
        <w:tc>
          <w:tcPr>
            <w:tcW w:w="1340" w:type="dxa"/>
            <w:vAlign w:val="bottom"/>
          </w:tcPr>
          <w:p>
            <w:pPr>
              <w:spacing w:after="0"/>
              <w:rPr>
                <w:sz w:val="3"/>
                <w:szCs w:val="3"/>
                <w:color w:val="auto"/>
              </w:rPr>
            </w:pPr>
          </w:p>
        </w:tc>
        <w:tc>
          <w:tcPr>
            <w:tcW w:w="1480" w:type="dxa"/>
            <w:vAlign w:val="bottom"/>
          </w:tcPr>
          <w:p>
            <w:pPr>
              <w:spacing w:after="0"/>
              <w:rPr>
                <w:sz w:val="3"/>
                <w:szCs w:val="3"/>
                <w:color w:val="auto"/>
              </w:rPr>
            </w:pPr>
          </w:p>
        </w:tc>
        <w:tc>
          <w:tcPr>
            <w:tcW w:w="1100" w:type="dxa"/>
            <w:vAlign w:val="bottom"/>
          </w:tcPr>
          <w:p>
            <w:pPr>
              <w:spacing w:after="0"/>
              <w:rPr>
                <w:sz w:val="3"/>
                <w:szCs w:val="3"/>
                <w:color w:val="auto"/>
              </w:rPr>
            </w:pPr>
          </w:p>
        </w:tc>
        <w:tc>
          <w:tcPr>
            <w:tcW w:w="1080" w:type="dxa"/>
            <w:vAlign w:val="bottom"/>
          </w:tcPr>
          <w:p>
            <w:pPr>
              <w:spacing w:after="0"/>
              <w:rPr>
                <w:sz w:val="3"/>
                <w:szCs w:val="3"/>
                <w:color w:val="auto"/>
              </w:rPr>
            </w:pPr>
          </w:p>
        </w:tc>
        <w:tc>
          <w:tcPr>
            <w:tcW w:w="960" w:type="dxa"/>
            <w:vAlign w:val="bottom"/>
          </w:tcPr>
          <w:p>
            <w:pPr>
              <w:spacing w:after="0"/>
              <w:rPr>
                <w:sz w:val="3"/>
                <w:szCs w:val="3"/>
                <w:color w:val="auto"/>
              </w:rPr>
            </w:pPr>
          </w:p>
        </w:tc>
      </w:tr>
      <w:tr>
        <w:trPr>
          <w:trHeight w:val="290"/>
        </w:trPr>
        <w:tc>
          <w:tcPr>
            <w:tcW w:w="290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Mario Covo</w:t>
            </w:r>
          </w:p>
        </w:tc>
        <w:tc>
          <w:tcPr>
            <w:tcW w:w="1340" w:type="dxa"/>
            <w:vAlign w:val="bottom"/>
            <w:tcBorders>
              <w:bottom w:val="single" w:sz="8" w:color="D7E7F5"/>
            </w:tcBorders>
            <w:shd w:val="clear" w:color="auto" w:fill="D7E7F5"/>
          </w:tcPr>
          <w:p>
            <w:pPr>
              <w:jc w:val="right"/>
              <w:ind w:right="233"/>
              <w:spacing w:after="0"/>
              <w:rPr>
                <w:sz w:val="20"/>
                <w:szCs w:val="20"/>
                <w:color w:val="auto"/>
              </w:rPr>
            </w:pPr>
            <w:r>
              <w:rPr>
                <w:rFonts w:ascii="Arial" w:cs="Arial" w:eastAsia="Arial" w:hAnsi="Arial"/>
                <w:sz w:val="18"/>
                <w:szCs w:val="18"/>
                <w:color w:val="auto"/>
              </w:rPr>
              <w:t>65,027</w:t>
            </w:r>
          </w:p>
        </w:tc>
        <w:tc>
          <w:tcPr>
            <w:tcW w:w="148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w w:val="99"/>
              </w:rPr>
              <w:t>—</w:t>
            </w:r>
          </w:p>
        </w:tc>
        <w:tc>
          <w:tcPr>
            <w:tcW w:w="1100" w:type="dxa"/>
            <w:vAlign w:val="bottom"/>
            <w:tcBorders>
              <w:bottom w:val="single" w:sz="8" w:color="D7E7F5"/>
            </w:tcBorders>
            <w:shd w:val="clear" w:color="auto" w:fill="D7E7F5"/>
          </w:tcPr>
          <w:p>
            <w:pPr>
              <w:jc w:val="right"/>
              <w:ind w:right="153"/>
              <w:spacing w:after="0"/>
              <w:rPr>
                <w:sz w:val="20"/>
                <w:szCs w:val="20"/>
                <w:color w:val="auto"/>
              </w:rPr>
            </w:pPr>
            <w:r>
              <w:rPr>
                <w:rFonts w:ascii="Arial" w:cs="Arial" w:eastAsia="Arial" w:hAnsi="Arial"/>
                <w:sz w:val="18"/>
                <w:szCs w:val="18"/>
                <w:color w:val="auto"/>
              </w:rPr>
              <w:t>65,027</w:t>
            </w:r>
          </w:p>
        </w:tc>
        <w:tc>
          <w:tcPr>
            <w:tcW w:w="108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D7E7F5"/>
            </w:tcBorders>
            <w:shd w:val="clear" w:color="auto" w:fill="D7E7F5"/>
          </w:tcPr>
          <w:p>
            <w:pPr>
              <w:jc w:val="right"/>
              <w:ind w:right="51"/>
              <w:spacing w:after="0"/>
              <w:rPr>
                <w:sz w:val="20"/>
                <w:szCs w:val="20"/>
                <w:color w:val="auto"/>
              </w:rPr>
            </w:pPr>
            <w:r>
              <w:rPr>
                <w:rFonts w:ascii="Arial" w:cs="Arial" w:eastAsia="Arial" w:hAnsi="Arial"/>
                <w:sz w:val="18"/>
                <w:szCs w:val="18"/>
                <w:color w:val="auto"/>
              </w:rPr>
              <w:t>11,700</w:t>
            </w:r>
          </w:p>
        </w:tc>
      </w:tr>
      <w:tr>
        <w:trPr>
          <w:trHeight w:val="274"/>
        </w:trPr>
        <w:tc>
          <w:tcPr>
            <w:tcW w:w="2900" w:type="dxa"/>
            <w:vAlign w:val="bottom"/>
          </w:tcPr>
          <w:p>
            <w:pPr>
              <w:ind w:left="100"/>
              <w:spacing w:after="0"/>
              <w:rPr>
                <w:sz w:val="20"/>
                <w:szCs w:val="20"/>
                <w:color w:val="auto"/>
              </w:rPr>
            </w:pPr>
            <w:r>
              <w:rPr>
                <w:rFonts w:ascii="Arial" w:cs="Arial" w:eastAsia="Arial" w:hAnsi="Arial"/>
                <w:sz w:val="18"/>
                <w:szCs w:val="18"/>
                <w:color w:val="auto"/>
              </w:rPr>
              <w:t>José Alberto Garzón</w:t>
            </w:r>
          </w:p>
        </w:tc>
        <w:tc>
          <w:tcPr>
            <w:tcW w:w="1340" w:type="dxa"/>
            <w:vAlign w:val="bottom"/>
          </w:tcPr>
          <w:p>
            <w:pPr>
              <w:jc w:val="right"/>
              <w:ind w:right="233"/>
              <w:spacing w:after="0"/>
              <w:rPr>
                <w:sz w:val="20"/>
                <w:szCs w:val="20"/>
                <w:color w:val="auto"/>
              </w:rPr>
            </w:pPr>
            <w:r>
              <w:rPr>
                <w:rFonts w:ascii="Arial" w:cs="Arial" w:eastAsia="Arial" w:hAnsi="Arial"/>
                <w:sz w:val="18"/>
                <w:szCs w:val="18"/>
                <w:color w:val="auto"/>
              </w:rPr>
              <w:t>12,300</w:t>
            </w:r>
          </w:p>
        </w:tc>
        <w:tc>
          <w:tcPr>
            <w:tcW w:w="148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100" w:type="dxa"/>
            <w:vAlign w:val="bottom"/>
          </w:tcPr>
          <w:p>
            <w:pPr>
              <w:jc w:val="right"/>
              <w:ind w:right="153"/>
              <w:spacing w:after="0"/>
              <w:rPr>
                <w:sz w:val="20"/>
                <w:szCs w:val="20"/>
                <w:color w:val="auto"/>
              </w:rPr>
            </w:pPr>
            <w:r>
              <w:rPr>
                <w:rFonts w:ascii="Arial" w:cs="Arial" w:eastAsia="Arial" w:hAnsi="Arial"/>
                <w:sz w:val="18"/>
                <w:szCs w:val="18"/>
                <w:color w:val="auto"/>
              </w:rPr>
              <w:t>12,300</w:t>
            </w:r>
          </w:p>
        </w:tc>
        <w:tc>
          <w:tcPr>
            <w:tcW w:w="1080" w:type="dxa"/>
            <w:vAlign w:val="bottom"/>
          </w:tcPr>
          <w:p>
            <w:pPr>
              <w:jc w:val="right"/>
              <w:ind w:right="393"/>
              <w:spacing w:after="0"/>
              <w:rPr>
                <w:sz w:val="20"/>
                <w:szCs w:val="20"/>
                <w:color w:val="auto"/>
              </w:rPr>
            </w:pPr>
            <w:r>
              <w:rPr>
                <w:rFonts w:ascii="Arial" w:cs="Arial" w:eastAsia="Arial" w:hAnsi="Arial"/>
                <w:sz w:val="18"/>
                <w:szCs w:val="18"/>
                <w:color w:val="auto"/>
              </w:rPr>
              <w:t>*</w:t>
            </w:r>
          </w:p>
        </w:tc>
        <w:tc>
          <w:tcPr>
            <w:tcW w:w="960" w:type="dxa"/>
            <w:vAlign w:val="bottom"/>
          </w:tcPr>
          <w:p>
            <w:pPr>
              <w:jc w:val="right"/>
              <w:ind w:right="51"/>
              <w:spacing w:after="0"/>
              <w:rPr>
                <w:sz w:val="20"/>
                <w:szCs w:val="20"/>
                <w:color w:val="auto"/>
              </w:rPr>
            </w:pPr>
            <w:r>
              <w:rPr>
                <w:rFonts w:ascii="Arial" w:cs="Arial" w:eastAsia="Arial" w:hAnsi="Arial"/>
                <w:sz w:val="18"/>
                <w:szCs w:val="18"/>
                <w:color w:val="auto"/>
              </w:rPr>
              <w:t>11,700</w:t>
            </w:r>
          </w:p>
        </w:tc>
      </w:tr>
      <w:tr>
        <w:trPr>
          <w:trHeight w:val="36"/>
        </w:trPr>
        <w:tc>
          <w:tcPr>
            <w:tcW w:w="2900" w:type="dxa"/>
            <w:vAlign w:val="bottom"/>
          </w:tcPr>
          <w:p>
            <w:pPr>
              <w:spacing w:after="0"/>
              <w:rPr>
                <w:sz w:val="3"/>
                <w:szCs w:val="3"/>
                <w:color w:val="auto"/>
              </w:rPr>
            </w:pPr>
          </w:p>
        </w:tc>
        <w:tc>
          <w:tcPr>
            <w:tcW w:w="1340" w:type="dxa"/>
            <w:vAlign w:val="bottom"/>
          </w:tcPr>
          <w:p>
            <w:pPr>
              <w:spacing w:after="0"/>
              <w:rPr>
                <w:sz w:val="3"/>
                <w:szCs w:val="3"/>
                <w:color w:val="auto"/>
              </w:rPr>
            </w:pPr>
          </w:p>
        </w:tc>
        <w:tc>
          <w:tcPr>
            <w:tcW w:w="1480" w:type="dxa"/>
            <w:vAlign w:val="bottom"/>
          </w:tcPr>
          <w:p>
            <w:pPr>
              <w:spacing w:after="0"/>
              <w:rPr>
                <w:sz w:val="3"/>
                <w:szCs w:val="3"/>
                <w:color w:val="auto"/>
              </w:rPr>
            </w:pPr>
          </w:p>
        </w:tc>
        <w:tc>
          <w:tcPr>
            <w:tcW w:w="1100" w:type="dxa"/>
            <w:vAlign w:val="bottom"/>
          </w:tcPr>
          <w:p>
            <w:pPr>
              <w:spacing w:after="0"/>
              <w:rPr>
                <w:sz w:val="3"/>
                <w:szCs w:val="3"/>
                <w:color w:val="auto"/>
              </w:rPr>
            </w:pPr>
          </w:p>
        </w:tc>
        <w:tc>
          <w:tcPr>
            <w:tcW w:w="1080" w:type="dxa"/>
            <w:vAlign w:val="bottom"/>
          </w:tcPr>
          <w:p>
            <w:pPr>
              <w:spacing w:after="0"/>
              <w:rPr>
                <w:sz w:val="3"/>
                <w:szCs w:val="3"/>
                <w:color w:val="auto"/>
              </w:rPr>
            </w:pPr>
          </w:p>
        </w:tc>
        <w:tc>
          <w:tcPr>
            <w:tcW w:w="960" w:type="dxa"/>
            <w:vAlign w:val="bottom"/>
          </w:tcPr>
          <w:p>
            <w:pPr>
              <w:spacing w:after="0"/>
              <w:rPr>
                <w:sz w:val="3"/>
                <w:szCs w:val="3"/>
                <w:color w:val="auto"/>
              </w:rPr>
            </w:pPr>
          </w:p>
        </w:tc>
      </w:tr>
      <w:tr>
        <w:trPr>
          <w:trHeight w:val="291"/>
        </w:trPr>
        <w:tc>
          <w:tcPr>
            <w:tcW w:w="290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Eduardo Hecker</w:t>
            </w:r>
          </w:p>
        </w:tc>
        <w:tc>
          <w:tcPr>
            <w:tcW w:w="1340" w:type="dxa"/>
            <w:vAlign w:val="bottom"/>
            <w:tcBorders>
              <w:bottom w:val="single" w:sz="8" w:color="D7E7F5"/>
            </w:tcBorders>
            <w:shd w:val="clear" w:color="auto" w:fill="D7E7F5"/>
          </w:tcPr>
          <w:p>
            <w:pPr>
              <w:jc w:val="right"/>
              <w:ind w:right="213"/>
              <w:spacing w:after="0"/>
              <w:rPr>
                <w:sz w:val="20"/>
                <w:szCs w:val="20"/>
                <w:color w:val="auto"/>
              </w:rPr>
            </w:pPr>
            <w:r>
              <w:rPr>
                <w:rFonts w:ascii="Arial" w:cs="Arial" w:eastAsia="Arial" w:hAnsi="Arial"/>
                <w:sz w:val="18"/>
                <w:szCs w:val="18"/>
                <w:color w:val="auto"/>
              </w:rPr>
              <w:t>—</w:t>
            </w:r>
          </w:p>
        </w:tc>
        <w:tc>
          <w:tcPr>
            <w:tcW w:w="148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w w:val="99"/>
              </w:rPr>
              <w:t>—</w:t>
            </w:r>
          </w:p>
        </w:tc>
        <w:tc>
          <w:tcPr>
            <w:tcW w:w="1100" w:type="dxa"/>
            <w:vAlign w:val="bottom"/>
            <w:tcBorders>
              <w:bottom w:val="single" w:sz="8" w:color="D7E7F5"/>
            </w:tcBorders>
            <w:shd w:val="clear" w:color="auto" w:fill="D7E7F5"/>
          </w:tcPr>
          <w:p>
            <w:pPr>
              <w:jc w:val="right"/>
              <w:ind w:right="153"/>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D7E7F5"/>
            </w:tcBorders>
            <w:shd w:val="clear" w:color="auto" w:fill="D7E7F5"/>
          </w:tcPr>
          <w:p>
            <w:pPr>
              <w:jc w:val="right"/>
              <w:ind w:right="51"/>
              <w:spacing w:after="0"/>
              <w:rPr>
                <w:sz w:val="20"/>
                <w:szCs w:val="20"/>
                <w:color w:val="auto"/>
              </w:rPr>
            </w:pPr>
            <w:r>
              <w:rPr>
                <w:rFonts w:ascii="Arial" w:cs="Arial" w:eastAsia="Arial" w:hAnsi="Arial"/>
                <w:sz w:val="18"/>
                <w:szCs w:val="18"/>
                <w:color w:val="auto"/>
              </w:rPr>
              <w:t>6,000</w:t>
            </w:r>
          </w:p>
        </w:tc>
      </w:tr>
      <w:tr>
        <w:trPr>
          <w:trHeight w:val="274"/>
        </w:trPr>
        <w:tc>
          <w:tcPr>
            <w:tcW w:w="2900" w:type="dxa"/>
            <w:vAlign w:val="bottom"/>
          </w:tcPr>
          <w:p>
            <w:pPr>
              <w:ind w:left="100"/>
              <w:spacing w:after="0"/>
              <w:rPr>
                <w:sz w:val="20"/>
                <w:szCs w:val="20"/>
                <w:color w:val="auto"/>
              </w:rPr>
            </w:pPr>
            <w:r>
              <w:rPr>
                <w:rFonts w:ascii="Arial" w:cs="Arial" w:eastAsia="Arial" w:hAnsi="Arial"/>
                <w:sz w:val="18"/>
                <w:szCs w:val="18"/>
                <w:color w:val="auto"/>
              </w:rPr>
              <w:t>Miguel Heras Castro</w:t>
            </w:r>
          </w:p>
        </w:tc>
        <w:tc>
          <w:tcPr>
            <w:tcW w:w="1340" w:type="dxa"/>
            <w:vAlign w:val="bottom"/>
          </w:tcPr>
          <w:p>
            <w:pPr>
              <w:jc w:val="right"/>
              <w:ind w:right="233"/>
              <w:spacing w:after="0"/>
              <w:rPr>
                <w:sz w:val="20"/>
                <w:szCs w:val="20"/>
                <w:color w:val="auto"/>
              </w:rPr>
            </w:pPr>
            <w:r>
              <w:rPr>
                <w:rFonts w:ascii="Arial" w:cs="Arial" w:eastAsia="Arial" w:hAnsi="Arial"/>
                <w:sz w:val="18"/>
                <w:szCs w:val="18"/>
                <w:color w:val="auto"/>
              </w:rPr>
              <w:t>94,300</w:t>
            </w:r>
          </w:p>
        </w:tc>
        <w:tc>
          <w:tcPr>
            <w:tcW w:w="148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100" w:type="dxa"/>
            <w:vAlign w:val="bottom"/>
          </w:tcPr>
          <w:p>
            <w:pPr>
              <w:jc w:val="right"/>
              <w:ind w:right="153"/>
              <w:spacing w:after="0"/>
              <w:rPr>
                <w:sz w:val="20"/>
                <w:szCs w:val="20"/>
                <w:color w:val="auto"/>
              </w:rPr>
            </w:pPr>
            <w:r>
              <w:rPr>
                <w:rFonts w:ascii="Arial" w:cs="Arial" w:eastAsia="Arial" w:hAnsi="Arial"/>
                <w:sz w:val="18"/>
                <w:szCs w:val="18"/>
                <w:color w:val="auto"/>
              </w:rPr>
              <w:t>94,300</w:t>
            </w:r>
          </w:p>
        </w:tc>
        <w:tc>
          <w:tcPr>
            <w:tcW w:w="1080" w:type="dxa"/>
            <w:vAlign w:val="bottom"/>
          </w:tcPr>
          <w:p>
            <w:pPr>
              <w:jc w:val="right"/>
              <w:ind w:right="393"/>
              <w:spacing w:after="0"/>
              <w:rPr>
                <w:sz w:val="20"/>
                <w:szCs w:val="20"/>
                <w:color w:val="auto"/>
              </w:rPr>
            </w:pPr>
            <w:r>
              <w:rPr>
                <w:rFonts w:ascii="Arial" w:cs="Arial" w:eastAsia="Arial" w:hAnsi="Arial"/>
                <w:sz w:val="18"/>
                <w:szCs w:val="18"/>
                <w:color w:val="auto"/>
              </w:rPr>
              <w:t>*</w:t>
            </w:r>
          </w:p>
        </w:tc>
        <w:tc>
          <w:tcPr>
            <w:tcW w:w="960" w:type="dxa"/>
            <w:vAlign w:val="bottom"/>
          </w:tcPr>
          <w:p>
            <w:pPr>
              <w:jc w:val="right"/>
              <w:ind w:right="51"/>
              <w:spacing w:after="0"/>
              <w:rPr>
                <w:sz w:val="20"/>
                <w:szCs w:val="20"/>
                <w:color w:val="auto"/>
              </w:rPr>
            </w:pPr>
            <w:r>
              <w:rPr>
                <w:rFonts w:ascii="Arial" w:cs="Arial" w:eastAsia="Arial" w:hAnsi="Arial"/>
                <w:sz w:val="18"/>
                <w:szCs w:val="18"/>
                <w:color w:val="auto"/>
              </w:rPr>
              <w:t>14,700</w:t>
            </w:r>
          </w:p>
        </w:tc>
      </w:tr>
      <w:tr>
        <w:trPr>
          <w:trHeight w:val="36"/>
        </w:trPr>
        <w:tc>
          <w:tcPr>
            <w:tcW w:w="2900" w:type="dxa"/>
            <w:vAlign w:val="bottom"/>
          </w:tcPr>
          <w:p>
            <w:pPr>
              <w:spacing w:after="0"/>
              <w:rPr>
                <w:sz w:val="3"/>
                <w:szCs w:val="3"/>
                <w:color w:val="auto"/>
              </w:rPr>
            </w:pPr>
          </w:p>
        </w:tc>
        <w:tc>
          <w:tcPr>
            <w:tcW w:w="1340" w:type="dxa"/>
            <w:vAlign w:val="bottom"/>
          </w:tcPr>
          <w:p>
            <w:pPr>
              <w:spacing w:after="0"/>
              <w:rPr>
                <w:sz w:val="3"/>
                <w:szCs w:val="3"/>
                <w:color w:val="auto"/>
              </w:rPr>
            </w:pPr>
          </w:p>
        </w:tc>
        <w:tc>
          <w:tcPr>
            <w:tcW w:w="1480" w:type="dxa"/>
            <w:vAlign w:val="bottom"/>
          </w:tcPr>
          <w:p>
            <w:pPr>
              <w:spacing w:after="0"/>
              <w:rPr>
                <w:sz w:val="3"/>
                <w:szCs w:val="3"/>
                <w:color w:val="auto"/>
              </w:rPr>
            </w:pPr>
          </w:p>
        </w:tc>
        <w:tc>
          <w:tcPr>
            <w:tcW w:w="1100" w:type="dxa"/>
            <w:vAlign w:val="bottom"/>
          </w:tcPr>
          <w:p>
            <w:pPr>
              <w:spacing w:after="0"/>
              <w:rPr>
                <w:sz w:val="3"/>
                <w:szCs w:val="3"/>
                <w:color w:val="auto"/>
              </w:rPr>
            </w:pPr>
          </w:p>
        </w:tc>
        <w:tc>
          <w:tcPr>
            <w:tcW w:w="1080" w:type="dxa"/>
            <w:vAlign w:val="bottom"/>
          </w:tcPr>
          <w:p>
            <w:pPr>
              <w:spacing w:after="0"/>
              <w:rPr>
                <w:sz w:val="3"/>
                <w:szCs w:val="3"/>
                <w:color w:val="auto"/>
              </w:rPr>
            </w:pPr>
          </w:p>
        </w:tc>
        <w:tc>
          <w:tcPr>
            <w:tcW w:w="960" w:type="dxa"/>
            <w:vAlign w:val="bottom"/>
          </w:tcPr>
          <w:p>
            <w:pPr>
              <w:spacing w:after="0"/>
              <w:rPr>
                <w:sz w:val="3"/>
                <w:szCs w:val="3"/>
                <w:color w:val="auto"/>
              </w:rPr>
            </w:pPr>
          </w:p>
        </w:tc>
      </w:tr>
      <w:tr>
        <w:trPr>
          <w:trHeight w:val="291"/>
        </w:trPr>
        <w:tc>
          <w:tcPr>
            <w:tcW w:w="290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color w:val="auto"/>
              </w:rPr>
              <w:t>Roland Holst</w:t>
            </w:r>
          </w:p>
        </w:tc>
        <w:tc>
          <w:tcPr>
            <w:tcW w:w="1340" w:type="dxa"/>
            <w:vAlign w:val="bottom"/>
            <w:tcBorders>
              <w:bottom w:val="single" w:sz="8" w:color="D7E7F5"/>
            </w:tcBorders>
            <w:shd w:val="clear" w:color="auto" w:fill="D7E7F5"/>
          </w:tcPr>
          <w:p>
            <w:pPr>
              <w:jc w:val="right"/>
              <w:ind w:right="233"/>
              <w:spacing w:after="0"/>
              <w:rPr>
                <w:sz w:val="20"/>
                <w:szCs w:val="20"/>
                <w:color w:val="auto"/>
              </w:rPr>
            </w:pPr>
            <w:r>
              <w:rPr>
                <w:rFonts w:ascii="Arial" w:cs="Arial" w:eastAsia="Arial" w:hAnsi="Arial"/>
                <w:sz w:val="18"/>
                <w:szCs w:val="18"/>
                <w:color w:val="auto"/>
              </w:rPr>
              <w:t>19,150</w:t>
            </w:r>
          </w:p>
        </w:tc>
        <w:tc>
          <w:tcPr>
            <w:tcW w:w="148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w w:val="99"/>
              </w:rPr>
              <w:t>—</w:t>
            </w:r>
          </w:p>
        </w:tc>
        <w:tc>
          <w:tcPr>
            <w:tcW w:w="1100" w:type="dxa"/>
            <w:vAlign w:val="bottom"/>
            <w:tcBorders>
              <w:bottom w:val="single" w:sz="8" w:color="D7E7F5"/>
            </w:tcBorders>
            <w:shd w:val="clear" w:color="auto" w:fill="D7E7F5"/>
          </w:tcPr>
          <w:p>
            <w:pPr>
              <w:jc w:val="right"/>
              <w:ind w:right="153"/>
              <w:spacing w:after="0"/>
              <w:rPr>
                <w:sz w:val="20"/>
                <w:szCs w:val="20"/>
                <w:color w:val="auto"/>
              </w:rPr>
            </w:pPr>
            <w:r>
              <w:rPr>
                <w:rFonts w:ascii="Arial" w:cs="Arial" w:eastAsia="Arial" w:hAnsi="Arial"/>
                <w:sz w:val="18"/>
                <w:szCs w:val="18"/>
                <w:color w:val="auto"/>
              </w:rPr>
              <w:t>19,150</w:t>
            </w:r>
          </w:p>
        </w:tc>
        <w:tc>
          <w:tcPr>
            <w:tcW w:w="108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D7E7F5"/>
            </w:tcBorders>
            <w:shd w:val="clear" w:color="auto" w:fill="D7E7F5"/>
          </w:tcPr>
          <w:p>
            <w:pPr>
              <w:jc w:val="right"/>
              <w:ind w:right="51"/>
              <w:spacing w:after="0"/>
              <w:rPr>
                <w:sz w:val="20"/>
                <w:szCs w:val="20"/>
                <w:color w:val="auto"/>
              </w:rPr>
            </w:pPr>
            <w:r>
              <w:rPr>
                <w:rFonts w:ascii="Arial" w:cs="Arial" w:eastAsia="Arial" w:hAnsi="Arial"/>
                <w:sz w:val="18"/>
                <w:szCs w:val="18"/>
                <w:color w:val="auto"/>
              </w:rPr>
              <w:t>11,700</w:t>
            </w:r>
          </w:p>
        </w:tc>
      </w:tr>
      <w:tr>
        <w:trPr>
          <w:trHeight w:val="274"/>
        </w:trPr>
        <w:tc>
          <w:tcPr>
            <w:tcW w:w="2900" w:type="dxa"/>
            <w:vAlign w:val="bottom"/>
          </w:tcPr>
          <w:p>
            <w:pPr>
              <w:ind w:left="100"/>
              <w:spacing w:after="0"/>
              <w:rPr>
                <w:sz w:val="20"/>
                <w:szCs w:val="20"/>
                <w:color w:val="auto"/>
              </w:rPr>
            </w:pPr>
            <w:r>
              <w:rPr>
                <w:rFonts w:ascii="Arial" w:cs="Arial" w:eastAsia="Arial" w:hAnsi="Arial"/>
                <w:sz w:val="18"/>
                <w:szCs w:val="18"/>
                <w:color w:val="auto"/>
              </w:rPr>
              <w:t>João Carlos de Nóbrega Pecego</w:t>
            </w:r>
          </w:p>
        </w:tc>
        <w:tc>
          <w:tcPr>
            <w:tcW w:w="1340" w:type="dxa"/>
            <w:vAlign w:val="bottom"/>
          </w:tcPr>
          <w:p>
            <w:pPr>
              <w:jc w:val="right"/>
              <w:ind w:right="233"/>
              <w:spacing w:after="0"/>
              <w:rPr>
                <w:sz w:val="20"/>
                <w:szCs w:val="20"/>
                <w:color w:val="auto"/>
              </w:rPr>
            </w:pPr>
            <w:r>
              <w:rPr>
                <w:rFonts w:ascii="Arial" w:cs="Arial" w:eastAsia="Arial" w:hAnsi="Arial"/>
                <w:sz w:val="18"/>
                <w:szCs w:val="18"/>
                <w:color w:val="auto"/>
              </w:rPr>
              <w:t>12,300</w:t>
            </w:r>
          </w:p>
        </w:tc>
        <w:tc>
          <w:tcPr>
            <w:tcW w:w="148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100" w:type="dxa"/>
            <w:vAlign w:val="bottom"/>
          </w:tcPr>
          <w:p>
            <w:pPr>
              <w:jc w:val="right"/>
              <w:ind w:right="153"/>
              <w:spacing w:after="0"/>
              <w:rPr>
                <w:sz w:val="20"/>
                <w:szCs w:val="20"/>
                <w:color w:val="auto"/>
              </w:rPr>
            </w:pPr>
            <w:r>
              <w:rPr>
                <w:rFonts w:ascii="Arial" w:cs="Arial" w:eastAsia="Arial" w:hAnsi="Arial"/>
                <w:sz w:val="18"/>
                <w:szCs w:val="18"/>
                <w:color w:val="auto"/>
              </w:rPr>
              <w:t>12,300</w:t>
            </w:r>
          </w:p>
        </w:tc>
        <w:tc>
          <w:tcPr>
            <w:tcW w:w="1080" w:type="dxa"/>
            <w:vAlign w:val="bottom"/>
          </w:tcPr>
          <w:p>
            <w:pPr>
              <w:jc w:val="right"/>
              <w:ind w:right="393"/>
              <w:spacing w:after="0"/>
              <w:rPr>
                <w:sz w:val="20"/>
                <w:szCs w:val="20"/>
                <w:color w:val="auto"/>
              </w:rPr>
            </w:pPr>
            <w:r>
              <w:rPr>
                <w:rFonts w:ascii="Arial" w:cs="Arial" w:eastAsia="Arial" w:hAnsi="Arial"/>
                <w:sz w:val="18"/>
                <w:szCs w:val="18"/>
                <w:color w:val="auto"/>
              </w:rPr>
              <w:t>*</w:t>
            </w:r>
          </w:p>
        </w:tc>
        <w:tc>
          <w:tcPr>
            <w:tcW w:w="960" w:type="dxa"/>
            <w:vAlign w:val="bottom"/>
          </w:tcPr>
          <w:p>
            <w:pPr>
              <w:jc w:val="right"/>
              <w:ind w:right="51"/>
              <w:spacing w:after="0"/>
              <w:rPr>
                <w:sz w:val="20"/>
                <w:szCs w:val="20"/>
                <w:color w:val="auto"/>
              </w:rPr>
            </w:pPr>
            <w:r>
              <w:rPr>
                <w:rFonts w:ascii="Arial" w:cs="Arial" w:eastAsia="Arial" w:hAnsi="Arial"/>
                <w:sz w:val="18"/>
                <w:szCs w:val="18"/>
                <w:color w:val="auto"/>
              </w:rPr>
              <w:t>11,700</w:t>
            </w:r>
          </w:p>
        </w:tc>
      </w:tr>
      <w:tr>
        <w:trPr>
          <w:trHeight w:val="36"/>
        </w:trPr>
        <w:tc>
          <w:tcPr>
            <w:tcW w:w="2900" w:type="dxa"/>
            <w:vAlign w:val="bottom"/>
          </w:tcPr>
          <w:p>
            <w:pPr>
              <w:spacing w:after="0"/>
              <w:rPr>
                <w:sz w:val="3"/>
                <w:szCs w:val="3"/>
                <w:color w:val="auto"/>
              </w:rPr>
            </w:pPr>
          </w:p>
        </w:tc>
        <w:tc>
          <w:tcPr>
            <w:tcW w:w="1340" w:type="dxa"/>
            <w:vAlign w:val="bottom"/>
          </w:tcPr>
          <w:p>
            <w:pPr>
              <w:spacing w:after="0"/>
              <w:rPr>
                <w:sz w:val="3"/>
                <w:szCs w:val="3"/>
                <w:color w:val="auto"/>
              </w:rPr>
            </w:pPr>
          </w:p>
        </w:tc>
        <w:tc>
          <w:tcPr>
            <w:tcW w:w="1480" w:type="dxa"/>
            <w:vAlign w:val="bottom"/>
          </w:tcPr>
          <w:p>
            <w:pPr>
              <w:spacing w:after="0"/>
              <w:rPr>
                <w:sz w:val="3"/>
                <w:szCs w:val="3"/>
                <w:color w:val="auto"/>
              </w:rPr>
            </w:pPr>
          </w:p>
        </w:tc>
        <w:tc>
          <w:tcPr>
            <w:tcW w:w="1100" w:type="dxa"/>
            <w:vAlign w:val="bottom"/>
          </w:tcPr>
          <w:p>
            <w:pPr>
              <w:spacing w:after="0"/>
              <w:rPr>
                <w:sz w:val="3"/>
                <w:szCs w:val="3"/>
                <w:color w:val="auto"/>
              </w:rPr>
            </w:pPr>
          </w:p>
        </w:tc>
        <w:tc>
          <w:tcPr>
            <w:tcW w:w="1080" w:type="dxa"/>
            <w:vAlign w:val="bottom"/>
          </w:tcPr>
          <w:p>
            <w:pPr>
              <w:spacing w:after="0"/>
              <w:rPr>
                <w:sz w:val="3"/>
                <w:szCs w:val="3"/>
                <w:color w:val="auto"/>
              </w:rPr>
            </w:pPr>
          </w:p>
        </w:tc>
        <w:tc>
          <w:tcPr>
            <w:tcW w:w="960" w:type="dxa"/>
            <w:vAlign w:val="bottom"/>
          </w:tcPr>
          <w:p>
            <w:pPr>
              <w:spacing w:after="0"/>
              <w:rPr>
                <w:sz w:val="3"/>
                <w:szCs w:val="3"/>
                <w:color w:val="auto"/>
              </w:rPr>
            </w:pPr>
          </w:p>
        </w:tc>
      </w:tr>
      <w:tr>
        <w:trPr>
          <w:trHeight w:val="291"/>
        </w:trPr>
        <w:tc>
          <w:tcPr>
            <w:tcW w:w="2900" w:type="dxa"/>
            <w:vAlign w:val="bottom"/>
            <w:tcBorders>
              <w:bottom w:val="single" w:sz="8" w:color="D7E7F5"/>
            </w:tcBorders>
            <w:shd w:val="clear" w:color="auto" w:fill="D7E7F5"/>
          </w:tcPr>
          <w:p>
            <w:pPr>
              <w:ind w:left="100"/>
              <w:spacing w:after="0"/>
              <w:rPr>
                <w:sz w:val="20"/>
                <w:szCs w:val="20"/>
                <w:color w:val="auto"/>
              </w:rPr>
            </w:pPr>
            <w:r>
              <w:rPr>
                <w:rFonts w:ascii="Arial" w:cs="Arial" w:eastAsia="Arial" w:hAnsi="Arial"/>
                <w:sz w:val="18"/>
                <w:szCs w:val="18"/>
                <w:b w:val="1"/>
                <w:bCs w:val="1"/>
                <w:color w:val="auto"/>
              </w:rPr>
              <w:t>Total</w:t>
            </w:r>
          </w:p>
        </w:tc>
        <w:tc>
          <w:tcPr>
            <w:tcW w:w="1340" w:type="dxa"/>
            <w:vAlign w:val="bottom"/>
            <w:tcBorders>
              <w:bottom w:val="single" w:sz="8" w:color="D7E7F5"/>
            </w:tcBorders>
            <w:shd w:val="clear" w:color="auto" w:fill="D7E7F5"/>
          </w:tcPr>
          <w:p>
            <w:pPr>
              <w:jc w:val="right"/>
              <w:ind w:right="213"/>
              <w:spacing w:after="0"/>
              <w:rPr>
                <w:sz w:val="20"/>
                <w:szCs w:val="20"/>
                <w:color w:val="auto"/>
              </w:rPr>
            </w:pPr>
            <w:r>
              <w:rPr>
                <w:rFonts w:ascii="Arial" w:cs="Arial" w:eastAsia="Arial" w:hAnsi="Arial"/>
                <w:sz w:val="18"/>
                <w:szCs w:val="18"/>
                <w:b w:val="1"/>
                <w:bCs w:val="1"/>
                <w:color w:val="auto"/>
              </w:rPr>
              <w:t>311,860</w:t>
            </w:r>
          </w:p>
        </w:tc>
        <w:tc>
          <w:tcPr>
            <w:tcW w:w="1480" w:type="dxa"/>
            <w:vAlign w:val="bottom"/>
            <w:tcBorders>
              <w:bottom w:val="single" w:sz="8" w:color="D7E7F5"/>
            </w:tcBorders>
            <w:shd w:val="clear" w:color="auto" w:fill="D7E7F5"/>
          </w:tcPr>
          <w:p>
            <w:pPr>
              <w:spacing w:after="0"/>
              <w:rPr>
                <w:sz w:val="24"/>
                <w:szCs w:val="24"/>
                <w:color w:val="auto"/>
              </w:rPr>
            </w:pPr>
          </w:p>
        </w:tc>
        <w:tc>
          <w:tcPr>
            <w:tcW w:w="1100" w:type="dxa"/>
            <w:vAlign w:val="bottom"/>
            <w:tcBorders>
              <w:bottom w:val="single" w:sz="8" w:color="D7E7F5"/>
            </w:tcBorders>
            <w:shd w:val="clear" w:color="auto" w:fill="D7E7F5"/>
          </w:tcPr>
          <w:p>
            <w:pPr>
              <w:jc w:val="right"/>
              <w:ind w:right="153"/>
              <w:spacing w:after="0"/>
              <w:rPr>
                <w:sz w:val="20"/>
                <w:szCs w:val="20"/>
                <w:color w:val="auto"/>
              </w:rPr>
            </w:pPr>
            <w:r>
              <w:rPr>
                <w:rFonts w:ascii="Arial" w:cs="Arial" w:eastAsia="Arial" w:hAnsi="Arial"/>
                <w:sz w:val="18"/>
                <w:szCs w:val="18"/>
                <w:b w:val="1"/>
                <w:bCs w:val="1"/>
                <w:color w:val="auto"/>
              </w:rPr>
              <w:t>311,860</w:t>
            </w:r>
          </w:p>
        </w:tc>
        <w:tc>
          <w:tcPr>
            <w:tcW w:w="1080" w:type="dxa"/>
            <w:vAlign w:val="bottom"/>
            <w:tcBorders>
              <w:bottom w:val="single" w:sz="8" w:color="D7E7F5"/>
            </w:tcBorders>
            <w:shd w:val="clear" w:color="auto" w:fill="D7E7F5"/>
          </w:tcPr>
          <w:p>
            <w:pPr>
              <w:spacing w:after="0"/>
              <w:rPr>
                <w:sz w:val="24"/>
                <w:szCs w:val="24"/>
                <w:color w:val="auto"/>
              </w:rPr>
            </w:pPr>
          </w:p>
        </w:tc>
        <w:tc>
          <w:tcPr>
            <w:tcW w:w="960" w:type="dxa"/>
            <w:vAlign w:val="bottom"/>
            <w:tcBorders>
              <w:bottom w:val="single" w:sz="8" w:color="D7E7F5"/>
            </w:tcBorders>
            <w:shd w:val="clear" w:color="auto" w:fill="D7E7F5"/>
          </w:tcPr>
          <w:p>
            <w:pPr>
              <w:jc w:val="right"/>
              <w:ind w:right="51"/>
              <w:spacing w:after="0"/>
              <w:rPr>
                <w:sz w:val="20"/>
                <w:szCs w:val="20"/>
                <w:color w:val="auto"/>
              </w:rPr>
            </w:pPr>
            <w:r>
              <w:rPr>
                <w:rFonts w:ascii="Arial" w:cs="Arial" w:eastAsia="Arial" w:hAnsi="Arial"/>
                <w:sz w:val="18"/>
                <w:szCs w:val="18"/>
                <w:b w:val="1"/>
                <w:bCs w:val="1"/>
                <w:color w:val="auto"/>
              </w:rPr>
              <w:t>102,900</w:t>
            </w:r>
          </w:p>
        </w:tc>
      </w:tr>
      <w:tr>
        <w:trPr>
          <w:trHeight w:val="20"/>
        </w:trPr>
        <w:tc>
          <w:tcPr>
            <w:tcW w:w="2900" w:type="dxa"/>
            <w:vAlign w:val="bottom"/>
            <w:shd w:val="clear" w:color="auto" w:fill="0065C1"/>
          </w:tcPr>
          <w:p>
            <w:pPr>
              <w:spacing w:after="0" w:line="20" w:lineRule="exact"/>
              <w:rPr>
                <w:sz w:val="1"/>
                <w:szCs w:val="1"/>
                <w:color w:val="auto"/>
              </w:rPr>
            </w:pPr>
          </w:p>
        </w:tc>
        <w:tc>
          <w:tcPr>
            <w:tcW w:w="1340" w:type="dxa"/>
            <w:vAlign w:val="bottom"/>
            <w:shd w:val="clear" w:color="auto" w:fill="0065C1"/>
          </w:tcPr>
          <w:p>
            <w:pPr>
              <w:spacing w:after="0" w:line="20" w:lineRule="exact"/>
              <w:rPr>
                <w:sz w:val="1"/>
                <w:szCs w:val="1"/>
                <w:color w:val="auto"/>
              </w:rPr>
            </w:pPr>
          </w:p>
        </w:tc>
        <w:tc>
          <w:tcPr>
            <w:tcW w:w="1480" w:type="dxa"/>
            <w:vAlign w:val="bottom"/>
            <w:shd w:val="clear" w:color="auto" w:fill="0065C1"/>
          </w:tcPr>
          <w:p>
            <w:pPr>
              <w:spacing w:after="0" w:line="20" w:lineRule="exact"/>
              <w:rPr>
                <w:sz w:val="1"/>
                <w:szCs w:val="1"/>
                <w:color w:val="auto"/>
              </w:rPr>
            </w:pPr>
          </w:p>
        </w:tc>
        <w:tc>
          <w:tcPr>
            <w:tcW w:w="1100" w:type="dxa"/>
            <w:vAlign w:val="bottom"/>
            <w:shd w:val="clear" w:color="auto" w:fill="0065C1"/>
          </w:tcPr>
          <w:p>
            <w:pPr>
              <w:spacing w:after="0" w:line="20" w:lineRule="exact"/>
              <w:rPr>
                <w:sz w:val="1"/>
                <w:szCs w:val="1"/>
                <w:color w:val="auto"/>
              </w:rPr>
            </w:pPr>
          </w:p>
        </w:tc>
        <w:tc>
          <w:tcPr>
            <w:tcW w:w="1080" w:type="dxa"/>
            <w:vAlign w:val="bottom"/>
            <w:shd w:val="clear" w:color="auto" w:fill="0065C1"/>
          </w:tcPr>
          <w:p>
            <w:pPr>
              <w:spacing w:after="0" w:line="20" w:lineRule="exact"/>
              <w:rPr>
                <w:sz w:val="1"/>
                <w:szCs w:val="1"/>
                <w:color w:val="auto"/>
              </w:rPr>
            </w:pPr>
          </w:p>
        </w:tc>
        <w:tc>
          <w:tcPr>
            <w:tcW w:w="960" w:type="dxa"/>
            <w:vAlign w:val="bottom"/>
            <w:shd w:val="clear" w:color="auto" w:fill="0065C1"/>
          </w:tcPr>
          <w:p>
            <w:pPr>
              <w:spacing w:after="0" w:line="20" w:lineRule="exact"/>
              <w:rPr>
                <w:sz w:val="1"/>
                <w:szCs w:val="1"/>
                <w:color w:val="auto"/>
              </w:rPr>
            </w:pPr>
          </w:p>
        </w:tc>
      </w:tr>
    </w:tbl>
    <w:p>
      <w:pPr>
        <w:spacing w:after="0" w:line="90" w:lineRule="exact"/>
        <w:rPr>
          <w:sz w:val="20"/>
          <w:szCs w:val="20"/>
          <w:color w:val="auto"/>
        </w:rPr>
      </w:pPr>
    </w:p>
    <w:p>
      <w:pPr>
        <w:ind w:left="360" w:hanging="284"/>
        <w:spacing w:after="0"/>
        <w:tabs>
          <w:tab w:leader="none" w:pos="360" w:val="left"/>
        </w:tabs>
        <w:numPr>
          <w:ilvl w:val="0"/>
          <w:numId w:val="8"/>
        </w:numPr>
        <w:rPr>
          <w:rFonts w:ascii="Arial" w:cs="Arial" w:eastAsia="Arial" w:hAnsi="Arial"/>
          <w:sz w:val="16"/>
          <w:szCs w:val="16"/>
          <w:color w:val="auto"/>
        </w:rPr>
      </w:pPr>
      <w:r>
        <w:rPr>
          <w:rFonts w:ascii="Arial" w:cs="Arial" w:eastAsia="Arial" w:hAnsi="Arial"/>
          <w:sz w:val="16"/>
          <w:szCs w:val="16"/>
          <w:color w:val="auto"/>
        </w:rPr>
        <w:t>Less than one percent of the outstanding class E shares.</w:t>
      </w:r>
    </w:p>
    <w:p>
      <w:pPr>
        <w:spacing w:after="0" w:line="59" w:lineRule="exact"/>
        <w:rPr>
          <w:sz w:val="20"/>
          <w:szCs w:val="20"/>
          <w:color w:val="auto"/>
        </w:rPr>
      </w:pPr>
    </w:p>
    <w:p>
      <w:pPr>
        <w:ind w:left="360" w:right="99" w:hanging="284"/>
        <w:spacing w:after="0" w:line="281" w:lineRule="auto"/>
        <w:tabs>
          <w:tab w:leader="none" w:pos="360" w:val="left"/>
        </w:tabs>
        <w:numPr>
          <w:ilvl w:val="0"/>
          <w:numId w:val="9"/>
        </w:numPr>
        <w:rPr>
          <w:rFonts w:ascii="Arial" w:cs="Arial" w:eastAsia="Arial" w:hAnsi="Arial"/>
          <w:sz w:val="16"/>
          <w:szCs w:val="16"/>
          <w:color w:val="auto"/>
        </w:rPr>
      </w:pPr>
      <w:r>
        <w:rPr>
          <w:rFonts w:ascii="Arial" w:cs="Arial" w:eastAsia="Arial" w:hAnsi="Arial"/>
          <w:sz w:val="16"/>
          <w:szCs w:val="16"/>
          <w:color w:val="auto"/>
        </w:rPr>
        <w:t>Includes Class E shares purchased by the director or restricted shares vested and transferred to the director pursuant to the 2003 Restricted Stock Plan, the 2008 Plan and the 2015 Plan as of such date.</w:t>
      </w:r>
    </w:p>
    <w:p>
      <w:pPr>
        <w:spacing w:after="0" w:line="1" w:lineRule="exact"/>
        <w:rPr>
          <w:rFonts w:ascii="Arial" w:cs="Arial" w:eastAsia="Arial" w:hAnsi="Arial"/>
          <w:sz w:val="16"/>
          <w:szCs w:val="16"/>
          <w:color w:val="auto"/>
        </w:rPr>
      </w:pPr>
    </w:p>
    <w:p>
      <w:pPr>
        <w:ind w:left="360" w:hanging="284"/>
        <w:spacing w:after="0"/>
        <w:tabs>
          <w:tab w:leader="none" w:pos="360" w:val="left"/>
        </w:tabs>
        <w:numPr>
          <w:ilvl w:val="0"/>
          <w:numId w:val="9"/>
        </w:numPr>
        <w:rPr>
          <w:rFonts w:ascii="Arial" w:cs="Arial" w:eastAsia="Arial" w:hAnsi="Arial"/>
          <w:sz w:val="16"/>
          <w:szCs w:val="16"/>
          <w:color w:val="auto"/>
        </w:rPr>
      </w:pPr>
      <w:r>
        <w:rPr>
          <w:rFonts w:ascii="Arial" w:cs="Arial" w:eastAsia="Arial" w:hAnsi="Arial"/>
          <w:sz w:val="16"/>
          <w:szCs w:val="16"/>
          <w:color w:val="auto"/>
        </w:rPr>
        <w:t>Includes vested / unexercised traditional stock options.</w:t>
      </w:r>
    </w:p>
    <w:p>
      <w:pPr>
        <w:spacing w:after="0" w:line="59" w:lineRule="exact"/>
        <w:rPr>
          <w:rFonts w:ascii="Arial" w:cs="Arial" w:eastAsia="Arial" w:hAnsi="Arial"/>
          <w:sz w:val="16"/>
          <w:szCs w:val="16"/>
          <w:color w:val="auto"/>
        </w:rPr>
      </w:pPr>
    </w:p>
    <w:p>
      <w:pPr>
        <w:jc w:val="both"/>
        <w:ind w:left="360" w:right="79" w:hanging="284"/>
        <w:spacing w:after="0" w:line="269" w:lineRule="auto"/>
        <w:tabs>
          <w:tab w:leader="none" w:pos="360" w:val="left"/>
        </w:tabs>
        <w:numPr>
          <w:ilvl w:val="0"/>
          <w:numId w:val="9"/>
        </w:numPr>
        <w:rPr>
          <w:rFonts w:ascii="Arial" w:cs="Arial" w:eastAsia="Arial" w:hAnsi="Arial"/>
          <w:sz w:val="16"/>
          <w:szCs w:val="16"/>
          <w:color w:val="auto"/>
        </w:rPr>
      </w:pPr>
      <w:r>
        <w:rPr>
          <w:rFonts w:ascii="Arial" w:cs="Arial" w:eastAsia="Arial" w:hAnsi="Arial"/>
          <w:sz w:val="16"/>
          <w:szCs w:val="16"/>
          <w:color w:val="auto"/>
        </w:rPr>
        <w:t>Includes unvested restricted Class E shares granted under the Bank’s 2008 Plan and 2015 Plan. An aggregate amount of 63,000 restricted shares were granted to directors on April 29, 2020; these restricted shares vest 35% in each of the first and second year and 30% in the third year on the relevant grant date’s anniversary.</w:t>
      </w:r>
    </w:p>
    <w:p>
      <w:pPr>
        <w:spacing w:after="0" w:line="79" w:lineRule="exact"/>
        <w:rPr>
          <w:sz w:val="20"/>
          <w:szCs w:val="20"/>
          <w:color w:val="auto"/>
        </w:rPr>
      </w:pPr>
    </w:p>
    <w:p>
      <w:pPr>
        <w:jc w:val="both"/>
        <w:ind w:left="80" w:right="99"/>
        <w:spacing w:after="0" w:line="255" w:lineRule="auto"/>
        <w:rPr>
          <w:sz w:val="20"/>
          <w:szCs w:val="20"/>
          <w:color w:val="auto"/>
        </w:rPr>
      </w:pPr>
      <w:r>
        <w:rPr>
          <w:rFonts w:ascii="Arial" w:cs="Arial" w:eastAsia="Arial" w:hAnsi="Arial"/>
          <w:sz w:val="18"/>
          <w:szCs w:val="18"/>
          <w:color w:val="auto"/>
        </w:rPr>
        <w:t>For additional information regarding stock options granted to executive officers and directors, see Note 29 (A) “Cash and stock-based compensation plans” to the audited consolidated financial statements of the Bank for the fiscal year ended December 31, 2020.</w:t>
      </w:r>
    </w:p>
    <w:p>
      <w:pPr>
        <w:spacing w:after="0" w:line="204"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Stock Ownership Policy for Directors and Executive Officers</w:t>
      </w:r>
    </w:p>
    <w:p>
      <w:pPr>
        <w:spacing w:after="0" w:line="139" w:lineRule="exact"/>
        <w:rPr>
          <w:sz w:val="20"/>
          <w:szCs w:val="20"/>
          <w:color w:val="auto"/>
        </w:rPr>
      </w:pPr>
    </w:p>
    <w:p>
      <w:pPr>
        <w:jc w:val="both"/>
        <w:ind w:left="80" w:right="99"/>
        <w:spacing w:after="0" w:line="255" w:lineRule="auto"/>
        <w:rPr>
          <w:sz w:val="20"/>
          <w:szCs w:val="20"/>
          <w:color w:val="auto"/>
        </w:rPr>
      </w:pPr>
      <w:r>
        <w:rPr>
          <w:rFonts w:ascii="Arial" w:cs="Arial" w:eastAsia="Arial" w:hAnsi="Arial"/>
          <w:sz w:val="18"/>
          <w:szCs w:val="18"/>
          <w:color w:val="auto"/>
        </w:rPr>
        <w:t>Since October 2013, the Board of Directors has adopted share ownership guidelines for directors and executive officers. This policy enables the Bank to meet its objective of aligning directors’ and executives’ interests with those of the shareholders.</w:t>
      </w:r>
    </w:p>
    <w:p>
      <w:pPr>
        <w:spacing w:after="0" w:line="96" w:lineRule="exact"/>
        <w:rPr>
          <w:sz w:val="20"/>
          <w:szCs w:val="20"/>
          <w:color w:val="auto"/>
        </w:rPr>
      </w:pPr>
    </w:p>
    <w:p>
      <w:pPr>
        <w:jc w:val="both"/>
        <w:ind w:left="80" w:right="79"/>
        <w:spacing w:after="0" w:line="248" w:lineRule="auto"/>
        <w:rPr>
          <w:sz w:val="20"/>
          <w:szCs w:val="20"/>
          <w:color w:val="auto"/>
        </w:rPr>
      </w:pPr>
      <w:r>
        <w:rPr>
          <w:rFonts w:ascii="Arial" w:cs="Arial" w:eastAsia="Arial" w:hAnsi="Arial"/>
          <w:sz w:val="18"/>
          <w:szCs w:val="18"/>
          <w:color w:val="auto"/>
        </w:rPr>
        <w:t>Under these guidelines, each director within three years of joining the Board, is required to accumulate 9,000 shares (13,500 for the Chairman of the Board), and to maintain at least this ownership level while serving as a member of the Board. Presently, all Board members are in compliance with the guidelines as they apply to them.</w:t>
      </w:r>
    </w:p>
    <w:p>
      <w:pPr>
        <w:spacing w:after="0" w:line="103" w:lineRule="exact"/>
        <w:rPr>
          <w:sz w:val="20"/>
          <w:szCs w:val="20"/>
          <w:color w:val="auto"/>
        </w:rPr>
      </w:pPr>
    </w:p>
    <w:p>
      <w:pPr>
        <w:jc w:val="both"/>
        <w:ind w:left="80" w:right="99"/>
        <w:spacing w:after="0" w:line="243" w:lineRule="auto"/>
        <w:rPr>
          <w:sz w:val="20"/>
          <w:szCs w:val="20"/>
          <w:color w:val="auto"/>
        </w:rPr>
      </w:pPr>
      <w:r>
        <w:rPr>
          <w:rFonts w:ascii="Arial" w:cs="Arial" w:eastAsia="Arial" w:hAnsi="Arial"/>
          <w:sz w:val="18"/>
          <w:szCs w:val="18"/>
          <w:color w:val="auto"/>
        </w:rPr>
        <w:t>The Chief Executive Officer is required to own shares of the Bank’s common stock worth at least two and a half times his annual base salary. Other Executive Officers are required to own stock equal to one time their annual base salary. These executive officers have up to seven years to comply with this share ownership requirement, measured from the later of the date of adoption of these guidelines or the date that they became subject to the guidelines. All executive officers named in the Beneficial Ownership table in this Proxy Statement are in compliance with the guidelines as they apply to them.</w:t>
      </w:r>
    </w:p>
    <w:p>
      <w:pPr>
        <w:spacing w:after="0" w:line="93" w:lineRule="exact"/>
        <w:rPr>
          <w:sz w:val="20"/>
          <w:szCs w:val="20"/>
          <w:color w:val="auto"/>
        </w:rPr>
      </w:pPr>
    </w:p>
    <w:p>
      <w:pPr>
        <w:jc w:val="both"/>
        <w:ind w:left="80" w:right="99"/>
        <w:spacing w:after="0" w:line="255" w:lineRule="auto"/>
        <w:rPr>
          <w:sz w:val="20"/>
          <w:szCs w:val="20"/>
          <w:color w:val="auto"/>
        </w:rPr>
      </w:pPr>
      <w:r>
        <w:rPr>
          <w:rFonts w:ascii="Arial" w:cs="Arial" w:eastAsia="Arial" w:hAnsi="Arial"/>
          <w:sz w:val="18"/>
          <w:szCs w:val="18"/>
          <w:color w:val="auto"/>
        </w:rPr>
        <w:t>The following elements are included in determining the Directors’ and Executive Officers’ share ownership for purposes of these guidelines: shares owned individually and by minor dependents or spouses; unvested restricted shares and restricted stock units; and vested or unvested stock options.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118745</wp:posOffset>
            </wp:positionV>
            <wp:extent cx="5623560" cy="88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204470</wp:posOffset>
            </wp:positionV>
            <wp:extent cx="411480" cy="17970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17"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26</w:t>
        <w:tab/>
        <w:t>Proxy Statement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193040</wp:posOffset>
            </wp:positionV>
            <wp:extent cx="6995160" cy="1714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33" w:name="page34"/>
    <w:bookmarkEnd w:id="33"/>
    <w:p>
      <w:pPr>
        <w:ind w:left="2480"/>
        <w:spacing w:after="0"/>
        <w:rPr>
          <w:sz w:val="20"/>
          <w:szCs w:val="20"/>
          <w:color w:val="auto"/>
        </w:rPr>
      </w:pPr>
      <w:r>
        <w:rPr>
          <w:rFonts w:ascii="Arial" w:cs="Arial" w:eastAsia="Arial" w:hAnsi="Arial"/>
          <w:sz w:val="29"/>
          <w:szCs w:val="29"/>
          <w:b w:val="1"/>
          <w:bCs w:val="1"/>
          <w:color w:val="0065C1"/>
        </w:rPr>
        <w:t>CORPORATE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47625</wp:posOffset>
            </wp:positionV>
            <wp:extent cx="5623560" cy="825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275"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Corporate Governance Practices</w:t>
      </w:r>
    </w:p>
    <w:p>
      <w:pPr>
        <w:spacing w:after="0" w:line="152" w:lineRule="exact"/>
        <w:rPr>
          <w:sz w:val="20"/>
          <w:szCs w:val="20"/>
          <w:color w:val="auto"/>
        </w:rPr>
      </w:pPr>
    </w:p>
    <w:p>
      <w:pPr>
        <w:jc w:val="both"/>
        <w:ind w:left="80" w:right="99"/>
        <w:spacing w:after="0" w:line="255" w:lineRule="auto"/>
        <w:rPr>
          <w:sz w:val="20"/>
          <w:szCs w:val="20"/>
          <w:color w:val="auto"/>
        </w:rPr>
      </w:pPr>
      <w:r>
        <w:rPr>
          <w:rFonts w:ascii="Arial" w:cs="Arial" w:eastAsia="Arial" w:hAnsi="Arial"/>
          <w:sz w:val="18"/>
          <w:szCs w:val="18"/>
          <w:color w:val="auto"/>
        </w:rPr>
        <w:t>The Board has decided not to establish a Corporate Governance Committee. Given the importance that corporate governance has for the Bank, the Board decided to address all matters related to corporate governance at the Board level.</w:t>
      </w:r>
    </w:p>
    <w:p>
      <w:pPr>
        <w:spacing w:after="0" w:line="83" w:lineRule="exact"/>
        <w:rPr>
          <w:sz w:val="20"/>
          <w:szCs w:val="20"/>
          <w:color w:val="auto"/>
        </w:rPr>
      </w:pPr>
    </w:p>
    <w:p>
      <w:pPr>
        <w:jc w:val="both"/>
        <w:ind w:left="80" w:right="79"/>
        <w:spacing w:after="0" w:line="255" w:lineRule="auto"/>
        <w:rPr>
          <w:sz w:val="20"/>
          <w:szCs w:val="20"/>
          <w:color w:val="auto"/>
        </w:rPr>
      </w:pPr>
      <w:r>
        <w:rPr>
          <w:rFonts w:ascii="Arial" w:cs="Arial" w:eastAsia="Arial" w:hAnsi="Arial"/>
          <w:sz w:val="18"/>
          <w:szCs w:val="18"/>
          <w:color w:val="auto"/>
        </w:rPr>
        <w:t>The Bank corporate governance manual complies with Section 303A of the NYSE’s Listed Company Manual/Corporate Governance Rules on “Corporate Governance” section may be found on the Bank’s website at https://www.bladex.com/en/corporate-governance.</w:t>
      </w:r>
    </w:p>
    <w:p>
      <w:pPr>
        <w:spacing w:after="0" w:line="96" w:lineRule="exact"/>
        <w:rPr>
          <w:sz w:val="20"/>
          <w:szCs w:val="20"/>
          <w:color w:val="auto"/>
        </w:rPr>
      </w:pPr>
    </w:p>
    <w:p>
      <w:pPr>
        <w:jc w:val="both"/>
        <w:ind w:left="80" w:right="99"/>
        <w:spacing w:after="0" w:line="276" w:lineRule="auto"/>
        <w:rPr>
          <w:sz w:val="20"/>
          <w:szCs w:val="20"/>
          <w:color w:val="auto"/>
        </w:rPr>
      </w:pPr>
      <w:r>
        <w:rPr>
          <w:rFonts w:ascii="Arial" w:cs="Arial" w:eastAsia="Arial" w:hAnsi="Arial"/>
          <w:sz w:val="18"/>
          <w:szCs w:val="18"/>
          <w:color w:val="auto"/>
        </w:rPr>
        <w:t>Shareholders, employees of the Bank, and other interested parties may communicate directly with the Board by corresponding to the address below:</w:t>
      </w:r>
    </w:p>
    <w:p>
      <w:pPr>
        <w:spacing w:after="0" w:line="118" w:lineRule="exact"/>
        <w:rPr>
          <w:sz w:val="20"/>
          <w:szCs w:val="20"/>
          <w:color w:val="auto"/>
        </w:rPr>
      </w:pPr>
    </w:p>
    <w:p>
      <w:pPr>
        <w:ind w:left="800"/>
        <w:spacing w:after="0"/>
        <w:rPr>
          <w:sz w:val="20"/>
          <w:szCs w:val="20"/>
          <w:color w:val="auto"/>
        </w:rPr>
      </w:pPr>
      <w:r>
        <w:rPr>
          <w:rFonts w:ascii="Arial" w:cs="Arial" w:eastAsia="Arial" w:hAnsi="Arial"/>
          <w:sz w:val="18"/>
          <w:szCs w:val="18"/>
          <w:color w:val="auto"/>
        </w:rPr>
        <w:t>Board of Directors of Banco Latinoamericano de Comercio Exterior, S.A.</w:t>
      </w:r>
    </w:p>
    <w:p>
      <w:pPr>
        <w:spacing w:after="0" w:line="13" w:lineRule="exact"/>
        <w:rPr>
          <w:sz w:val="20"/>
          <w:szCs w:val="20"/>
          <w:color w:val="auto"/>
        </w:rPr>
      </w:pPr>
    </w:p>
    <w:p>
      <w:pPr>
        <w:ind w:left="800"/>
        <w:spacing w:after="0"/>
        <w:rPr>
          <w:sz w:val="20"/>
          <w:szCs w:val="20"/>
          <w:color w:val="auto"/>
        </w:rPr>
      </w:pPr>
      <w:r>
        <w:rPr>
          <w:rFonts w:ascii="Arial" w:cs="Arial" w:eastAsia="Arial" w:hAnsi="Arial"/>
          <w:sz w:val="18"/>
          <w:szCs w:val="18"/>
          <w:color w:val="auto"/>
        </w:rPr>
        <w:t>c/o Mr. Miguel Heras Castro</w:t>
      </w:r>
    </w:p>
    <w:p>
      <w:pPr>
        <w:ind w:left="800"/>
        <w:spacing w:after="0" w:line="234" w:lineRule="auto"/>
        <w:rPr>
          <w:sz w:val="20"/>
          <w:szCs w:val="20"/>
          <w:color w:val="auto"/>
        </w:rPr>
      </w:pPr>
      <w:r>
        <w:rPr>
          <w:rFonts w:ascii="Arial" w:cs="Arial" w:eastAsia="Arial" w:hAnsi="Arial"/>
          <w:sz w:val="18"/>
          <w:szCs w:val="18"/>
          <w:color w:val="auto"/>
        </w:rPr>
        <w:t>Director and Chairman of the Board of Directors</w:t>
      </w:r>
    </w:p>
    <w:p>
      <w:pPr>
        <w:ind w:left="800"/>
        <w:spacing w:after="0" w:line="235" w:lineRule="auto"/>
        <w:rPr>
          <w:sz w:val="20"/>
          <w:szCs w:val="20"/>
          <w:color w:val="auto"/>
        </w:rPr>
      </w:pPr>
      <w:r>
        <w:rPr>
          <w:rFonts w:ascii="Arial" w:cs="Arial" w:eastAsia="Arial" w:hAnsi="Arial"/>
          <w:sz w:val="18"/>
          <w:szCs w:val="18"/>
          <w:color w:val="auto"/>
        </w:rPr>
        <w:t>Torre V, Business Park</w:t>
      </w:r>
    </w:p>
    <w:p>
      <w:pPr>
        <w:ind w:left="800"/>
        <w:spacing w:after="0" w:line="235" w:lineRule="auto"/>
        <w:rPr>
          <w:sz w:val="20"/>
          <w:szCs w:val="20"/>
          <w:color w:val="auto"/>
        </w:rPr>
      </w:pPr>
      <w:r>
        <w:rPr>
          <w:rFonts w:ascii="Arial" w:cs="Arial" w:eastAsia="Arial" w:hAnsi="Arial"/>
          <w:sz w:val="18"/>
          <w:szCs w:val="18"/>
          <w:color w:val="auto"/>
        </w:rPr>
        <w:t>Avenida La Rotonda, Urbanización Costa del Este</w:t>
      </w:r>
    </w:p>
    <w:p>
      <w:pPr>
        <w:ind w:left="800"/>
        <w:spacing w:after="0" w:line="235" w:lineRule="auto"/>
        <w:rPr>
          <w:sz w:val="20"/>
          <w:szCs w:val="20"/>
          <w:color w:val="auto"/>
        </w:rPr>
      </w:pPr>
      <w:r>
        <w:rPr>
          <w:rFonts w:ascii="Arial" w:cs="Arial" w:eastAsia="Arial" w:hAnsi="Arial"/>
          <w:sz w:val="18"/>
          <w:szCs w:val="18"/>
          <w:color w:val="auto"/>
        </w:rPr>
        <w:t>P.O. Box 0819-08730</w:t>
      </w:r>
    </w:p>
    <w:p>
      <w:pPr>
        <w:ind w:left="800"/>
        <w:spacing w:after="0"/>
        <w:rPr>
          <w:sz w:val="20"/>
          <w:szCs w:val="20"/>
          <w:color w:val="auto"/>
        </w:rPr>
      </w:pPr>
      <w:r>
        <w:rPr>
          <w:rFonts w:ascii="Arial" w:cs="Arial" w:eastAsia="Arial" w:hAnsi="Arial"/>
          <w:sz w:val="18"/>
          <w:szCs w:val="18"/>
          <w:color w:val="auto"/>
        </w:rPr>
        <w:t>Panama City, Republic of Panama</w:t>
      </w:r>
    </w:p>
    <w:p>
      <w:pPr>
        <w:spacing w:after="0" w:line="122" w:lineRule="exact"/>
        <w:rPr>
          <w:sz w:val="20"/>
          <w:szCs w:val="20"/>
          <w:color w:val="auto"/>
        </w:rPr>
      </w:pPr>
    </w:p>
    <w:p>
      <w:pPr>
        <w:jc w:val="both"/>
        <w:ind w:left="80" w:right="79"/>
        <w:spacing w:after="0" w:line="245" w:lineRule="auto"/>
        <w:rPr>
          <w:sz w:val="20"/>
          <w:szCs w:val="20"/>
          <w:color w:val="auto"/>
        </w:rPr>
      </w:pPr>
      <w:r>
        <w:rPr>
          <w:rFonts w:ascii="Arial" w:cs="Arial" w:eastAsia="Arial" w:hAnsi="Arial"/>
          <w:sz w:val="18"/>
          <w:szCs w:val="18"/>
          <w:color w:val="auto"/>
        </w:rPr>
        <w:t>In addition, the Bank has selected Ethics Line, an on-line reporting system, to provide shareholders, employees of the Bank, and other interested parties with an alternative channel to report anonymously, any actual or possible violations of the Bank’s Code of Ethics, as well as other work-related situations or irregular or suspicious transactions, accounting matters, internal audit or accounting controls. In order to file a report, a link is provided on the Bank’s website at http://www.bladex.com.</w:t>
      </w:r>
    </w:p>
    <w:p>
      <w:pPr>
        <w:spacing w:after="0" w:line="185"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Transactions with Related Persons</w:t>
      </w:r>
    </w:p>
    <w:p>
      <w:pPr>
        <w:spacing w:after="0" w:line="152"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Certain Directors of the Bank are also Directors and Executive Officers of banks and/or other companies located in Latin America, the Caribbean and elsewhere. Some of these banks and/or other companies own shares of the Bank’s common stock and have entered into loan transactions with the Bank in the ordinary course of business. The terms and conditions of the loan transactions, including interest rates and collateral requirements, are substantially the same as the terms and conditions of comparable loan transactions entered into with other persons under similar market conditions. In accordance with the Risk Policy and Assessment Committee’s charter, Directors of the Bank shall not participate in the approval process for credit facilities extended to institutions in which they are Executive Officers or Directors, nor do they participate with respect to decisions regarding country exposure limits in countries in which the institutions are domiciled.</w:t>
      </w:r>
    </w:p>
    <w:p>
      <w:pPr>
        <w:spacing w:after="0" w:line="203"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Sustainable and Responsible Business Practices</w:t>
      </w:r>
    </w:p>
    <w:p>
      <w:pPr>
        <w:spacing w:after="0" w:line="139" w:lineRule="exact"/>
        <w:rPr>
          <w:sz w:val="20"/>
          <w:szCs w:val="20"/>
          <w:color w:val="auto"/>
        </w:rPr>
      </w:pPr>
    </w:p>
    <w:p>
      <w:pPr>
        <w:jc w:val="both"/>
        <w:ind w:left="80" w:right="99"/>
        <w:spacing w:after="0" w:line="248" w:lineRule="auto"/>
        <w:rPr>
          <w:sz w:val="20"/>
          <w:szCs w:val="20"/>
          <w:color w:val="auto"/>
        </w:rPr>
      </w:pPr>
      <w:r>
        <w:rPr>
          <w:rFonts w:ascii="Arial" w:cs="Arial" w:eastAsia="Arial" w:hAnsi="Arial"/>
          <w:sz w:val="18"/>
          <w:szCs w:val="18"/>
          <w:color w:val="auto"/>
        </w:rPr>
        <w:t>The Board recognizes the importance of its responsibilities as it relates to Environmental, Social and Governance (ESG) matters. The Bank is further enhancing its corporate responsibility efforts by undertaking a formal ESG materiality assessment to identify the issues that represent the most significant opportunities and risks for the Bank.</w:t>
      </w:r>
    </w:p>
    <w:p>
      <w:pPr>
        <w:spacing w:after="0" w:line="197"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Human Capital Management</w:t>
      </w:r>
    </w:p>
    <w:p>
      <w:pPr>
        <w:spacing w:after="0" w:line="152" w:lineRule="exact"/>
        <w:rPr>
          <w:sz w:val="20"/>
          <w:szCs w:val="20"/>
          <w:color w:val="auto"/>
        </w:rPr>
      </w:pPr>
    </w:p>
    <w:p>
      <w:pPr>
        <w:jc w:val="both"/>
        <w:ind w:left="80" w:right="79"/>
        <w:spacing w:after="0" w:line="245" w:lineRule="auto"/>
        <w:rPr>
          <w:sz w:val="20"/>
          <w:szCs w:val="20"/>
          <w:color w:val="auto"/>
        </w:rPr>
      </w:pPr>
      <w:r>
        <w:rPr>
          <w:rFonts w:ascii="Arial" w:cs="Arial" w:eastAsia="Arial" w:hAnsi="Arial"/>
          <w:sz w:val="18"/>
          <w:szCs w:val="18"/>
          <w:color w:val="auto"/>
        </w:rPr>
        <w:t>At Bladex, we consider Human Capital as the backbone for all of the Bank’s business activities and, as such, employees’ wellbeing is the basis for meeting the Bank’s objectives. In turn, year after year, the behavior of our employees reflects our values: Commitment, Humility, Excellence, Respect and Integrity. This is the result of a robust talent management program that begins in the recruitment and selection process and is kept up through a comprehensive training model and benefit programs for the Bank’s employees.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123825</wp:posOffset>
            </wp:positionV>
            <wp:extent cx="5623560" cy="825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209550</wp:posOffset>
            </wp:positionV>
            <wp:extent cx="411480" cy="17970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26" w:lineRule="exact"/>
        <w:rPr>
          <w:sz w:val="20"/>
          <w:szCs w:val="20"/>
          <w:color w:val="auto"/>
        </w:rPr>
      </w:pPr>
    </w:p>
    <w:p>
      <w:pPr>
        <w:jc w:val="right"/>
        <w:ind w:right="79"/>
        <w:spacing w:after="0"/>
        <w:tabs>
          <w:tab w:leader="none" w:pos="180" w:val="left"/>
        </w:tabs>
        <w:rPr>
          <w:sz w:val="20"/>
          <w:szCs w:val="20"/>
          <w:color w:val="auto"/>
        </w:rPr>
      </w:pPr>
      <w:r>
        <w:rPr>
          <w:rFonts w:ascii="Arial" w:cs="Arial" w:eastAsia="Arial" w:hAnsi="Arial"/>
          <w:sz w:val="18"/>
          <w:szCs w:val="18"/>
          <w:b w:val="1"/>
          <w:bCs w:val="1"/>
          <w:color w:val="auto"/>
        </w:rPr>
        <w:t>Proxy Statement 2021</w:t>
      </w:r>
      <w:r>
        <w:rPr>
          <w:sz w:val="20"/>
          <w:szCs w:val="20"/>
          <w:color w:val="auto"/>
        </w:rPr>
        <w:tab/>
      </w:r>
      <w:r>
        <w:rPr>
          <w:rFonts w:ascii="Arial" w:cs="Arial" w:eastAsia="Arial" w:hAnsi="Arial"/>
          <w:sz w:val="17"/>
          <w:szCs w:val="17"/>
          <w:b w:val="1"/>
          <w:bCs w:val="1"/>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4" w:right="1440" w:bottom="1440" w:gutter="0" w:footer="0" w:header="0"/>
        </w:sectPr>
      </w:pPr>
    </w:p>
    <w:bookmarkStart w:id="34" w:name="page35"/>
    <w:bookmarkEnd w:id="34"/>
    <w:p>
      <w:pPr>
        <w:ind w:left="80"/>
        <w:spacing w:after="0"/>
        <w:rPr>
          <w:sz w:val="20"/>
          <w:szCs w:val="20"/>
          <w:color w:val="auto"/>
        </w:rPr>
      </w:pPr>
      <w:r>
        <w:rPr>
          <w:rFonts w:ascii="Arial" w:cs="Arial" w:eastAsia="Arial" w:hAnsi="Arial"/>
          <w:sz w:val="22"/>
          <w:szCs w:val="22"/>
          <w:color w:val="0065C1"/>
        </w:rPr>
        <w:t>CORPORATE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50165</wp:posOffset>
            </wp:positionV>
            <wp:extent cx="5623560" cy="825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71" w:lineRule="exact"/>
        <w:rPr>
          <w:sz w:val="20"/>
          <w:szCs w:val="20"/>
          <w:color w:val="auto"/>
        </w:rPr>
      </w:pPr>
    </w:p>
    <w:p>
      <w:pPr>
        <w:jc w:val="both"/>
        <w:ind w:left="80" w:right="79"/>
        <w:spacing w:after="0" w:line="245" w:lineRule="auto"/>
        <w:rPr>
          <w:sz w:val="20"/>
          <w:szCs w:val="20"/>
          <w:color w:val="auto"/>
        </w:rPr>
      </w:pPr>
      <w:r>
        <w:rPr>
          <w:rFonts w:ascii="Arial" w:cs="Arial" w:eastAsia="Arial" w:hAnsi="Arial"/>
          <w:sz w:val="18"/>
          <w:szCs w:val="18"/>
          <w:color w:val="auto"/>
        </w:rPr>
        <w:t>We want Bladex to be a great place to work and to build a career. We therefore offer a strong career development program which includes various rubrics, tools, resources and opportunities designed to assist colleagues in building critical skills and in enhancing their career growth within our organization. We also ensure that we are in full compliance with health and safety standards through wide-ranging training programs and comprehensive internal audit processes.</w:t>
      </w:r>
    </w:p>
    <w:p>
      <w:pPr>
        <w:spacing w:after="0" w:line="105" w:lineRule="exact"/>
        <w:rPr>
          <w:sz w:val="20"/>
          <w:szCs w:val="20"/>
          <w:color w:val="auto"/>
        </w:rPr>
      </w:pPr>
    </w:p>
    <w:p>
      <w:pPr>
        <w:jc w:val="both"/>
        <w:ind w:left="80" w:right="99"/>
        <w:spacing w:after="0" w:line="255" w:lineRule="auto"/>
        <w:rPr>
          <w:sz w:val="20"/>
          <w:szCs w:val="20"/>
          <w:color w:val="auto"/>
        </w:rPr>
      </w:pPr>
      <w:r>
        <w:rPr>
          <w:rFonts w:ascii="Arial" w:cs="Arial" w:eastAsia="Arial" w:hAnsi="Arial"/>
          <w:sz w:val="18"/>
          <w:szCs w:val="18"/>
          <w:color w:val="auto"/>
        </w:rPr>
        <w:t>The Bank’s goal is to have all employees - regardless of their race, ethnicity, religion, age, gender, national origin, or other characteristics - feel valued, respected and accepted for their unique characteristics and contribution to Bladex.</w:t>
      </w:r>
    </w:p>
    <w:p>
      <w:pPr>
        <w:spacing w:after="0" w:line="191"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Diversity</w:t>
      </w:r>
    </w:p>
    <w:p>
      <w:pPr>
        <w:spacing w:after="0" w:line="152"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Diversity is among the factors considered by the Board’s Compensation Committee when evaluating candidates for positions on the Bank's Board of Directors. The Compensation Committee generally views and values diversity from the perspective of professional and life experiences and recognizes that diversity in professional and life experiences may include considerations of gender, race, national origin or other characteristics that can contribute to the Bank’s strategic vision and mission. Gender diversity was strengthened with the appointment of two female Directors who represent the shareholders of All Classes. Moreover, the fact that seven different nationalities are represented on the ten-member Board of Directors reflects the importance given to diversity by the Board of Directors.</w:t>
      </w:r>
    </w:p>
    <w:p>
      <w:pPr>
        <w:spacing w:after="0" w:line="113" w:lineRule="exact"/>
        <w:rPr>
          <w:sz w:val="20"/>
          <w:szCs w:val="20"/>
          <w:color w:val="auto"/>
        </w:rPr>
      </w:pPr>
    </w:p>
    <w:p>
      <w:pPr>
        <w:jc w:val="both"/>
        <w:ind w:left="80" w:right="99"/>
        <w:spacing w:after="0" w:line="255" w:lineRule="auto"/>
        <w:rPr>
          <w:sz w:val="20"/>
          <w:szCs w:val="20"/>
          <w:color w:val="auto"/>
        </w:rPr>
      </w:pPr>
      <w:r>
        <w:rPr>
          <w:rFonts w:ascii="Arial" w:cs="Arial" w:eastAsia="Arial" w:hAnsi="Arial"/>
          <w:sz w:val="18"/>
          <w:szCs w:val="18"/>
          <w:color w:val="auto"/>
        </w:rPr>
        <w:t>The presence of different nationalities and cultures among our employees enhances Bladex’s brand. Having a multicultural work environment is one of our main strengths which facilitates business management across the region.</w:t>
      </w:r>
    </w:p>
    <w:p>
      <w:pPr>
        <w:spacing w:after="0" w:line="191"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Code of Ethics</w:t>
      </w:r>
    </w:p>
    <w:p>
      <w:pPr>
        <w:spacing w:after="0" w:line="152" w:lineRule="exact"/>
        <w:rPr>
          <w:sz w:val="20"/>
          <w:szCs w:val="20"/>
          <w:color w:val="auto"/>
        </w:rPr>
      </w:pPr>
    </w:p>
    <w:p>
      <w:pPr>
        <w:jc w:val="both"/>
        <w:ind w:left="80" w:right="79"/>
        <w:spacing w:after="0" w:line="243" w:lineRule="auto"/>
        <w:rPr>
          <w:sz w:val="20"/>
          <w:szCs w:val="20"/>
          <w:color w:val="auto"/>
        </w:rPr>
      </w:pPr>
      <w:r>
        <w:rPr>
          <w:rFonts w:ascii="Arial" w:cs="Arial" w:eastAsia="Arial" w:hAnsi="Arial"/>
          <w:sz w:val="18"/>
          <w:szCs w:val="18"/>
          <w:color w:val="auto"/>
        </w:rPr>
        <w:t>Our Code of Ethics contains provisions regarding related party transactions and applies to all Directors, Officers and Employees. The Code of Ethics requires that each individual deal fairly, honestly and constructively with governmental and regulatory bodies, customers, and suppliers and prohibits any individual’s taking unfair advantage through manipulation, concealment, abuse of privileged information or misrepresentation of material facts. Further, it imposes an express duty on all Directors, Officers and Employees to act in the best interests of the Bank.</w:t>
      </w:r>
    </w:p>
    <w:p>
      <w:pPr>
        <w:spacing w:after="0" w:line="93" w:lineRule="exact"/>
        <w:rPr>
          <w:sz w:val="20"/>
          <w:szCs w:val="20"/>
          <w:color w:val="auto"/>
        </w:rPr>
      </w:pPr>
    </w:p>
    <w:p>
      <w:pPr>
        <w:jc w:val="both"/>
        <w:ind w:left="80" w:right="79"/>
        <w:spacing w:after="0" w:line="255" w:lineRule="auto"/>
        <w:rPr>
          <w:sz w:val="20"/>
          <w:szCs w:val="20"/>
          <w:color w:val="auto"/>
        </w:rPr>
      </w:pPr>
      <w:r>
        <w:rPr>
          <w:rFonts w:ascii="Arial" w:cs="Arial" w:eastAsia="Arial" w:hAnsi="Arial"/>
          <w:sz w:val="18"/>
          <w:szCs w:val="18"/>
          <w:color w:val="auto"/>
        </w:rPr>
        <w:t>All Directors, Officers and Employees of the Bank are required to avoid any situation that might cause a conflict of interest and are required to notify, through the use of Ethics Line, the existence of any such conflict of interest as provided for in the Code of Ethics.</w:t>
      </w:r>
    </w:p>
    <w:p>
      <w:pPr>
        <w:spacing w:after="0" w:line="96"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The Code of Ethics also imposes additional requirements with respect to the Chief Executive Officer, the Chief Financial Officer and the Vice President - Accountant, including an obligation to adhere to high ethical business standards and to be sensitive about situations that could result in actual or apparent conflicts of interest. Any violation of the Code of Ethics constitutes grounds for disciplinary action, including dismissal and possible legal action. In situations involving one of the above mentioned executives, where the appearance or the potential of a conflict of interest is involved, but where the executive does not believe that a significant conflict of interest exists, the executive is required to obtain approval from the Audit Committee before getting involved in that situation.</w:t>
      </w:r>
    </w:p>
    <w:p>
      <w:pPr>
        <w:spacing w:after="0" w:line="113" w:lineRule="exact"/>
        <w:rPr>
          <w:sz w:val="20"/>
          <w:szCs w:val="20"/>
          <w:color w:val="auto"/>
        </w:rPr>
      </w:pPr>
    </w:p>
    <w:p>
      <w:pPr>
        <w:jc w:val="both"/>
        <w:ind w:left="80" w:right="79"/>
        <w:spacing w:after="0" w:line="268" w:lineRule="auto"/>
        <w:rPr>
          <w:sz w:val="20"/>
          <w:szCs w:val="20"/>
          <w:color w:val="auto"/>
        </w:rPr>
      </w:pPr>
      <w:r>
        <w:rPr>
          <w:rFonts w:ascii="Arial" w:cs="Arial" w:eastAsia="Arial" w:hAnsi="Arial"/>
          <w:sz w:val="17"/>
          <w:szCs w:val="17"/>
          <w:color w:val="auto"/>
        </w:rPr>
        <w:t>Directors, Officers and Employees must not compete with the Bank for personal gain, or misappropriate the Bank’s corporate opportunities, through the use of the Bank´s information or through the use of such person´s position at the Bank. Directors, Officers and Employees must refrain from buying or selling the Bank’s shares or securities based on confidential or privileged information of material importance to the Bank and its businesses.</w:t>
      </w:r>
    </w:p>
    <w:p>
      <w:pPr>
        <w:spacing w:after="0" w:line="72" w:lineRule="exact"/>
        <w:rPr>
          <w:sz w:val="20"/>
          <w:szCs w:val="20"/>
          <w:color w:val="auto"/>
        </w:rPr>
      </w:pPr>
    </w:p>
    <w:p>
      <w:pPr>
        <w:jc w:val="both"/>
        <w:ind w:left="80" w:right="79"/>
        <w:spacing w:after="0" w:line="248" w:lineRule="auto"/>
        <w:rPr>
          <w:sz w:val="20"/>
          <w:szCs w:val="20"/>
          <w:color w:val="auto"/>
        </w:rPr>
      </w:pPr>
      <w:r>
        <w:rPr>
          <w:rFonts w:ascii="Arial" w:cs="Arial" w:eastAsia="Arial" w:hAnsi="Arial"/>
          <w:sz w:val="18"/>
          <w:szCs w:val="18"/>
          <w:color w:val="auto"/>
        </w:rPr>
        <w:t>The Code of Ethics is posted on the “Corporate Governance” section of the Bank’s website at https://www.bladex.com/en/corporate-governance. You may also request a printed copy free of charge by sending a written request to the Secretary of the Bank at the address listed on the cover of this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122555</wp:posOffset>
            </wp:positionV>
            <wp:extent cx="5623560" cy="889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208280</wp:posOffset>
            </wp:positionV>
            <wp:extent cx="411480" cy="18034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24"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28</w:t>
        <w:tab/>
        <w:t>Proxy Statement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193040</wp:posOffset>
            </wp:positionV>
            <wp:extent cx="6995160" cy="1714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35" w:name="page36"/>
    <w:bookmarkEnd w:id="35"/>
    <w:p>
      <w:pPr>
        <w:jc w:val="right"/>
        <w:ind w:right="79"/>
        <w:spacing w:after="0"/>
        <w:rPr>
          <w:sz w:val="20"/>
          <w:szCs w:val="20"/>
          <w:color w:val="auto"/>
        </w:rPr>
      </w:pPr>
      <w:r>
        <w:rPr>
          <w:rFonts w:ascii="Arial" w:cs="Arial" w:eastAsia="Arial" w:hAnsi="Arial"/>
          <w:sz w:val="22"/>
          <w:szCs w:val="22"/>
          <w:color w:val="0065C1"/>
        </w:rPr>
        <w:t>CORPORATE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50165</wp:posOffset>
            </wp:positionV>
            <wp:extent cx="5623560" cy="825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84"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Cybersecurity and Information Security</w:t>
      </w:r>
    </w:p>
    <w:p>
      <w:pPr>
        <w:spacing w:after="0" w:line="125" w:lineRule="exact"/>
        <w:rPr>
          <w:sz w:val="20"/>
          <w:szCs w:val="20"/>
          <w:color w:val="auto"/>
        </w:rPr>
      </w:pPr>
    </w:p>
    <w:p>
      <w:pPr>
        <w:ind w:left="80"/>
        <w:spacing w:after="0"/>
        <w:rPr>
          <w:sz w:val="20"/>
          <w:szCs w:val="20"/>
          <w:color w:val="auto"/>
        </w:rPr>
      </w:pPr>
      <w:r>
        <w:rPr>
          <w:rFonts w:ascii="Arial" w:cs="Arial" w:eastAsia="Arial" w:hAnsi="Arial"/>
          <w:sz w:val="18"/>
          <w:szCs w:val="18"/>
          <w:color w:val="auto"/>
        </w:rPr>
        <w:t>Risk Oversight</w:t>
      </w:r>
    </w:p>
    <w:p>
      <w:pPr>
        <w:spacing w:after="0" w:line="144"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The Board recognizes the importance of maintaining the trust and confidence of the Bank’s shareholders, clients, and employees, and devotes significant time and attention to oversight of cybersecurity and information security risk. In particular, the Board and the Risk Policy and Assessment Committee receive regular reporting on cybersecurity and information security risk. The Board and the Risk Policy and Assessment Committee also receive yearly training sessions on cybersecurity and information security topics. In 2018, the Risk Policy and Assessment Committee’s Charter was updated to expressly include its responsibility for overseeing cybersecurity and information security risks as well as the steps taken by management to understand and mitigate such risks.</w:t>
      </w:r>
    </w:p>
    <w:p>
      <w:pPr>
        <w:spacing w:after="0" w:line="180" w:lineRule="exact"/>
        <w:rPr>
          <w:sz w:val="20"/>
          <w:szCs w:val="20"/>
          <w:color w:val="auto"/>
        </w:rPr>
      </w:pPr>
    </w:p>
    <w:p>
      <w:pPr>
        <w:ind w:left="80"/>
        <w:spacing w:after="0"/>
        <w:rPr>
          <w:sz w:val="20"/>
          <w:szCs w:val="20"/>
          <w:color w:val="auto"/>
        </w:rPr>
      </w:pPr>
      <w:r>
        <w:rPr>
          <w:rFonts w:ascii="Arial" w:cs="Arial" w:eastAsia="Arial" w:hAnsi="Arial"/>
          <w:sz w:val="18"/>
          <w:szCs w:val="18"/>
          <w:color w:val="auto"/>
        </w:rPr>
        <w:t>Management and control environment</w:t>
      </w:r>
    </w:p>
    <w:p>
      <w:pPr>
        <w:spacing w:after="0" w:line="144" w:lineRule="exact"/>
        <w:rPr>
          <w:sz w:val="20"/>
          <w:szCs w:val="20"/>
          <w:color w:val="auto"/>
        </w:rPr>
      </w:pPr>
    </w:p>
    <w:p>
      <w:pPr>
        <w:jc w:val="both"/>
        <w:ind w:left="80" w:right="99"/>
        <w:spacing w:after="0" w:line="248" w:lineRule="auto"/>
        <w:rPr>
          <w:sz w:val="20"/>
          <w:szCs w:val="20"/>
          <w:color w:val="auto"/>
        </w:rPr>
      </w:pPr>
      <w:r>
        <w:rPr>
          <w:rFonts w:ascii="Arial" w:cs="Arial" w:eastAsia="Arial" w:hAnsi="Arial"/>
          <w:sz w:val="18"/>
          <w:szCs w:val="18"/>
          <w:color w:val="auto"/>
        </w:rPr>
        <w:t>The Bank has approved policies and implemented procedures defining roles and responsibilities for managing information security as part of the Information Security and Technological Risk Management Framework. These policies and procedures cover any access to data, resource management and information systems by the Bank’s employees, suppliers, and other persons or entities dealing with the Bank at any given time.</w:t>
      </w:r>
    </w:p>
    <w:p>
      <w:pPr>
        <w:spacing w:after="0" w:line="89" w:lineRule="exact"/>
        <w:rPr>
          <w:sz w:val="20"/>
          <w:szCs w:val="20"/>
          <w:color w:val="auto"/>
        </w:rPr>
      </w:pPr>
    </w:p>
    <w:p>
      <w:pPr>
        <w:jc w:val="both"/>
        <w:ind w:left="80" w:right="99"/>
        <w:spacing w:after="0" w:line="255" w:lineRule="auto"/>
        <w:rPr>
          <w:sz w:val="20"/>
          <w:szCs w:val="20"/>
          <w:color w:val="auto"/>
        </w:rPr>
      </w:pPr>
      <w:r>
        <w:rPr>
          <w:rFonts w:ascii="Arial" w:cs="Arial" w:eastAsia="Arial" w:hAnsi="Arial"/>
          <w:sz w:val="18"/>
          <w:szCs w:val="18"/>
          <w:color w:val="auto"/>
        </w:rPr>
        <w:t>The Bank’s Information Security Team is responsible for ensuring compliance with the applicable policies and procedures by any person with access to its systems. The Bank also engages independent third-party consultants to review and assess its cybersecurity program.</w:t>
      </w:r>
    </w:p>
    <w:p>
      <w:pPr>
        <w:spacing w:after="0" w:line="96" w:lineRule="exact"/>
        <w:rPr>
          <w:sz w:val="20"/>
          <w:szCs w:val="20"/>
          <w:color w:val="auto"/>
        </w:rPr>
      </w:pPr>
    </w:p>
    <w:p>
      <w:pPr>
        <w:jc w:val="both"/>
        <w:ind w:left="80" w:right="99"/>
        <w:spacing w:after="0" w:line="255" w:lineRule="auto"/>
        <w:rPr>
          <w:sz w:val="20"/>
          <w:szCs w:val="20"/>
          <w:color w:val="auto"/>
        </w:rPr>
      </w:pPr>
      <w:r>
        <w:rPr>
          <w:rFonts w:ascii="Arial" w:cs="Arial" w:eastAsia="Arial" w:hAnsi="Arial"/>
          <w:sz w:val="18"/>
          <w:szCs w:val="18"/>
          <w:color w:val="auto"/>
        </w:rPr>
        <w:t>The Bank’s cybersecurity program was developed using a holistic approach, which covers both technical and strategic measures. This program is based on four fundamental pillars: Perimeter Security, Service and Infrastructure Security, User Security and Data Security.</w:t>
      </w:r>
    </w:p>
    <w:p>
      <w:pPr>
        <w:spacing w:after="0" w:line="191"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65C1"/>
        </w:rPr>
        <w:t>Corporate Social Responsibility</w:t>
      </w:r>
    </w:p>
    <w:p>
      <w:pPr>
        <w:spacing w:after="0" w:line="139" w:lineRule="exact"/>
        <w:rPr>
          <w:sz w:val="20"/>
          <w:szCs w:val="20"/>
          <w:color w:val="auto"/>
        </w:rPr>
      </w:pPr>
    </w:p>
    <w:p>
      <w:pPr>
        <w:jc w:val="both"/>
        <w:ind w:left="80" w:right="99"/>
        <w:spacing w:after="0" w:line="255" w:lineRule="auto"/>
        <w:rPr>
          <w:sz w:val="20"/>
          <w:szCs w:val="20"/>
          <w:color w:val="auto"/>
        </w:rPr>
      </w:pPr>
      <w:r>
        <w:rPr>
          <w:rFonts w:ascii="Arial" w:cs="Arial" w:eastAsia="Arial" w:hAnsi="Arial"/>
          <w:sz w:val="18"/>
          <w:szCs w:val="18"/>
          <w:color w:val="auto"/>
        </w:rPr>
        <w:t>The Bank is committed to maintaining a Corporate Governance structure aligned with the highest standards of governance so that, based on the needs of its stakeholders, its staff may respond with values and commitments that make Bladex a socially responsible company.</w:t>
      </w:r>
    </w:p>
    <w:p>
      <w:pPr>
        <w:spacing w:after="0" w:line="96" w:lineRule="exact"/>
        <w:rPr>
          <w:sz w:val="20"/>
          <w:szCs w:val="20"/>
          <w:color w:val="auto"/>
        </w:rPr>
      </w:pPr>
    </w:p>
    <w:p>
      <w:pPr>
        <w:jc w:val="both"/>
        <w:ind w:left="80" w:right="79"/>
        <w:spacing w:after="0" w:line="243" w:lineRule="auto"/>
        <w:rPr>
          <w:sz w:val="20"/>
          <w:szCs w:val="20"/>
          <w:color w:val="auto"/>
        </w:rPr>
      </w:pPr>
      <w:r>
        <w:rPr>
          <w:rFonts w:ascii="Arial" w:cs="Arial" w:eastAsia="Arial" w:hAnsi="Arial"/>
          <w:sz w:val="18"/>
          <w:szCs w:val="18"/>
          <w:color w:val="auto"/>
        </w:rPr>
        <w:t>The work that Bladex as a socially responsible company develops in the market is consistent with the values that govern corporate behavior. Beyond its economic function, Bladex plays an important role as a development agent in the communities in which it has the privilege of working, so in view of that it decided to establish, in 2013, the Fundación Crece Latinoamérica-Gonzalo Menéndez Duque foundation. Since 2014, the Foundation has carried out the Bank's social work, both in Panama and in the rest of the Region in which the Bank operates, working in association with various NGOs and government institutions.</w:t>
      </w:r>
    </w:p>
    <w:p>
      <w:pPr>
        <w:spacing w:after="0" w:line="106" w:lineRule="exact"/>
        <w:rPr>
          <w:sz w:val="20"/>
          <w:szCs w:val="20"/>
          <w:color w:val="auto"/>
        </w:rPr>
      </w:pPr>
    </w:p>
    <w:p>
      <w:pPr>
        <w:jc w:val="both"/>
        <w:ind w:left="80" w:right="79"/>
        <w:spacing w:after="0" w:line="245" w:lineRule="auto"/>
        <w:rPr>
          <w:sz w:val="20"/>
          <w:szCs w:val="20"/>
          <w:color w:val="auto"/>
        </w:rPr>
      </w:pPr>
      <w:r>
        <w:rPr>
          <w:rFonts w:ascii="Arial" w:cs="Arial" w:eastAsia="Arial" w:hAnsi="Arial"/>
          <w:sz w:val="18"/>
          <w:szCs w:val="18"/>
          <w:color w:val="auto"/>
        </w:rPr>
        <w:t>Beginning in 2012, the Bank joined the United Nations Global Compact. The principles of the Global Compact are reflected in the initiatives that the Bank has implemented, promoting an organizational culture framed by clearly defined values in the Code of Ethics, with respect for human rights in all its manifestations, in the transparency of the business, as well as in the adoption of programs that promote greater environmental responsibility and motivate the active participation of employees in the social works that the Bank promotes.</w:t>
      </w:r>
    </w:p>
    <w:p>
      <w:pPr>
        <w:spacing w:after="0" w:line="91" w:lineRule="exact"/>
        <w:rPr>
          <w:sz w:val="20"/>
          <w:szCs w:val="20"/>
          <w:color w:val="auto"/>
        </w:rPr>
      </w:pPr>
    </w:p>
    <w:p>
      <w:pPr>
        <w:jc w:val="both"/>
        <w:ind w:left="80" w:right="79"/>
        <w:spacing w:after="0" w:line="276" w:lineRule="auto"/>
        <w:rPr>
          <w:sz w:val="20"/>
          <w:szCs w:val="20"/>
          <w:color w:val="auto"/>
        </w:rPr>
      </w:pPr>
      <w:r>
        <w:rPr>
          <w:rFonts w:ascii="Arial" w:cs="Arial" w:eastAsia="Arial" w:hAnsi="Arial"/>
          <w:sz w:val="18"/>
          <w:szCs w:val="18"/>
          <w:color w:val="auto"/>
        </w:rPr>
        <w:t>The Corporate Social Responsibility Report may be found on the Bank’s website at https://www.bladex.com/en/fundacrece.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106680</wp:posOffset>
            </wp:positionV>
            <wp:extent cx="5623560" cy="825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192405</wp:posOffset>
            </wp:positionV>
            <wp:extent cx="411480" cy="18034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98" w:lineRule="exact"/>
        <w:rPr>
          <w:sz w:val="20"/>
          <w:szCs w:val="20"/>
          <w:color w:val="auto"/>
        </w:rPr>
      </w:pPr>
    </w:p>
    <w:p>
      <w:pPr>
        <w:jc w:val="right"/>
        <w:ind w:right="79"/>
        <w:spacing w:after="0"/>
        <w:tabs>
          <w:tab w:leader="none" w:pos="180" w:val="left"/>
        </w:tabs>
        <w:rPr>
          <w:sz w:val="20"/>
          <w:szCs w:val="20"/>
          <w:color w:val="auto"/>
        </w:rPr>
      </w:pPr>
      <w:r>
        <w:rPr>
          <w:rFonts w:ascii="Arial" w:cs="Arial" w:eastAsia="Arial" w:hAnsi="Arial"/>
          <w:sz w:val="18"/>
          <w:szCs w:val="18"/>
          <w:b w:val="1"/>
          <w:bCs w:val="1"/>
          <w:color w:val="auto"/>
        </w:rPr>
        <w:t>Proxy Statement 2021</w:t>
      </w:r>
      <w:r>
        <w:rPr>
          <w:sz w:val="20"/>
          <w:szCs w:val="20"/>
          <w:color w:val="auto"/>
        </w:rPr>
        <w:tab/>
      </w:r>
      <w:r>
        <w:rPr>
          <w:rFonts w:ascii="Arial" w:cs="Arial" w:eastAsia="Arial" w:hAnsi="Arial"/>
          <w:sz w:val="17"/>
          <w:szCs w:val="17"/>
          <w:b w:val="1"/>
          <w:bCs w:val="1"/>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193040</wp:posOffset>
            </wp:positionV>
            <wp:extent cx="6995160" cy="1714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1" w:right="1440" w:bottom="1440" w:gutter="0" w:footer="0" w:header="0"/>
        </w:sectPr>
      </w:pPr>
    </w:p>
    <w:bookmarkStart w:id="36" w:name="page37"/>
    <w:bookmarkEnd w:id="36"/>
    <w:p>
      <w:pPr>
        <w:jc w:val="center"/>
        <w:ind w:right="79"/>
        <w:spacing w:after="0"/>
        <w:rPr>
          <w:sz w:val="20"/>
          <w:szCs w:val="20"/>
          <w:color w:val="auto"/>
        </w:rPr>
      </w:pPr>
      <w:r>
        <w:rPr>
          <w:rFonts w:ascii="Arial" w:cs="Arial" w:eastAsia="Arial" w:hAnsi="Arial"/>
          <w:sz w:val="29"/>
          <w:szCs w:val="29"/>
          <w:b w:val="1"/>
          <w:bCs w:val="1"/>
          <w:color w:val="0065C1"/>
        </w:rPr>
        <w:t>Audit Committee Report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47625</wp:posOffset>
            </wp:positionV>
            <wp:extent cx="5623560" cy="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194" w:lineRule="exact"/>
        <w:rPr>
          <w:sz w:val="20"/>
          <w:szCs w:val="20"/>
          <w:color w:val="auto"/>
        </w:rPr>
      </w:pPr>
    </w:p>
    <w:p>
      <w:pPr>
        <w:jc w:val="both"/>
        <w:ind w:left="80" w:right="79"/>
        <w:spacing w:after="0" w:line="243" w:lineRule="auto"/>
        <w:rPr>
          <w:sz w:val="20"/>
          <w:szCs w:val="20"/>
          <w:color w:val="auto"/>
        </w:rPr>
      </w:pPr>
      <w:r>
        <w:rPr>
          <w:rFonts w:ascii="Arial" w:cs="Arial" w:eastAsia="Arial" w:hAnsi="Arial"/>
          <w:sz w:val="18"/>
          <w:szCs w:val="18"/>
          <w:color w:val="auto"/>
        </w:rPr>
        <w:t>The Audit Committee is currently composed of five members of the Board, each of whom is independent of the Bank and its management, based upon the independence standard adopted by the Board, which incorporates the independence requirements under applicable laws, rules and regulations. The members of the Audit Committee have maintained independence through the year 2020. The Board has adopted, and annually reviews, the Audit Committee Charter. The Audit Committee Charter specifies the scope of the Audit Committee’s responsibilities and how it carries out those responsibilities.</w:t>
      </w:r>
    </w:p>
    <w:p>
      <w:pPr>
        <w:spacing w:after="0" w:line="93"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The Audit Committee has evaluated and discussed the Bank’s December 31, 2020 audited consolidated financial statements, along with management’s assessment of the effectiveness of the internal control over financial reporting. The Bank’s management has presented to the Audit Committee that the Bank’s audited consolidated financial statements were prepared in accordance with International Financial Reporting Standards. Also, the Audit Committee met with the independent registered public accounting firm and has discussed the results of the audit performed and evaluation of the internal control over financial reporting. The Audit Committee also has discussed with KPMG the matters that independent registered public accounting firms must communicate to Audit Committees under Public Company Accounting Oversight Board (“PCAOB”) rules.</w:t>
      </w:r>
    </w:p>
    <w:p>
      <w:pPr>
        <w:spacing w:after="0" w:line="108" w:lineRule="exact"/>
        <w:rPr>
          <w:sz w:val="20"/>
          <w:szCs w:val="20"/>
          <w:color w:val="auto"/>
        </w:rPr>
      </w:pPr>
    </w:p>
    <w:p>
      <w:pPr>
        <w:jc w:val="both"/>
        <w:ind w:left="80" w:right="79"/>
        <w:spacing w:after="0" w:line="241" w:lineRule="auto"/>
        <w:rPr>
          <w:sz w:val="20"/>
          <w:szCs w:val="20"/>
          <w:color w:val="auto"/>
        </w:rPr>
      </w:pPr>
      <w:r>
        <w:rPr>
          <w:rFonts w:ascii="Arial" w:cs="Arial" w:eastAsia="Arial" w:hAnsi="Arial"/>
          <w:sz w:val="18"/>
          <w:szCs w:val="18"/>
          <w:color w:val="auto"/>
        </w:rPr>
        <w:t xml:space="preserve">The Audit Committee also has received from KPMG the written disclosures and the letter required by the PCAOB’s Ethics and Independence Rule 3526, </w:t>
      </w:r>
      <w:r>
        <w:rPr>
          <w:rFonts w:ascii="Arial" w:cs="Arial" w:eastAsia="Arial" w:hAnsi="Arial"/>
          <w:sz w:val="18"/>
          <w:szCs w:val="18"/>
          <w:i w:val="1"/>
          <w:iCs w:val="1"/>
          <w:color w:val="auto"/>
        </w:rPr>
        <w:t>Communication with Audit Committees Concerning</w:t>
      </w:r>
      <w:r>
        <w:rPr>
          <w:rFonts w:ascii="Arial" w:cs="Arial" w:eastAsia="Arial" w:hAnsi="Arial"/>
          <w:sz w:val="18"/>
          <w:szCs w:val="18"/>
          <w:color w:val="auto"/>
        </w:rPr>
        <w:t xml:space="preserve"> </w:t>
      </w:r>
      <w:r>
        <w:rPr>
          <w:rFonts w:ascii="Arial" w:cs="Arial" w:eastAsia="Arial" w:hAnsi="Arial"/>
          <w:sz w:val="18"/>
          <w:szCs w:val="18"/>
          <w:i w:val="1"/>
          <w:iCs w:val="1"/>
          <w:color w:val="auto"/>
        </w:rPr>
        <w:t>Independence</w:t>
      </w:r>
      <w:r>
        <w:rPr>
          <w:rFonts w:ascii="Arial" w:cs="Arial" w:eastAsia="Arial" w:hAnsi="Arial"/>
          <w:sz w:val="18"/>
          <w:szCs w:val="18"/>
          <w:color w:val="auto"/>
        </w:rPr>
        <w:t>, and has discussed with KPMG the independence of KPMG from the Bank, and has determined</w:t>
      </w:r>
      <w:r>
        <w:rPr>
          <w:rFonts w:ascii="Arial" w:cs="Arial" w:eastAsia="Arial" w:hAnsi="Arial"/>
          <w:sz w:val="18"/>
          <w:szCs w:val="18"/>
          <w:i w:val="1"/>
          <w:iCs w:val="1"/>
          <w:color w:val="auto"/>
        </w:rPr>
        <w:t xml:space="preserve"> </w:t>
      </w:r>
      <w:r>
        <w:rPr>
          <w:rFonts w:ascii="Arial" w:cs="Arial" w:eastAsia="Arial" w:hAnsi="Arial"/>
          <w:sz w:val="18"/>
          <w:szCs w:val="18"/>
          <w:color w:val="auto"/>
        </w:rPr>
        <w:t>that KPMG remains independent from the Bank. The Audit Committee also has considered whether the provision of audit-related services to the Bank is compatible with KPMG’s independence, and has determined that the provision of such audit-related services to the Bank is compatible with KPMG’s independence from the Bank.</w:t>
      </w:r>
    </w:p>
    <w:p>
      <w:pPr>
        <w:spacing w:after="0" w:line="111" w:lineRule="exact"/>
        <w:rPr>
          <w:sz w:val="20"/>
          <w:szCs w:val="20"/>
          <w:color w:val="auto"/>
        </w:rPr>
      </w:pPr>
    </w:p>
    <w:p>
      <w:pPr>
        <w:jc w:val="both"/>
        <w:ind w:left="80" w:right="79"/>
        <w:spacing w:after="0" w:line="255" w:lineRule="auto"/>
        <w:rPr>
          <w:sz w:val="20"/>
          <w:szCs w:val="20"/>
          <w:color w:val="auto"/>
        </w:rPr>
      </w:pPr>
      <w:r>
        <w:rPr>
          <w:rFonts w:ascii="Arial" w:cs="Arial" w:eastAsia="Arial" w:hAnsi="Arial"/>
          <w:sz w:val="18"/>
          <w:szCs w:val="18"/>
          <w:color w:val="auto"/>
        </w:rPr>
        <w:t>Based on the review and discussions referred to above, the Audit Committee recommended to the Board that the December 31, 2020 audited consolidated financial statements be included in the Bank’s Annual Report on Form 20-F for the year ended December 31, 2020.</w:t>
      </w:r>
    </w:p>
    <w:p>
      <w:pPr>
        <w:spacing w:after="0" w:line="123" w:lineRule="exact"/>
        <w:rPr>
          <w:sz w:val="20"/>
          <w:szCs w:val="20"/>
          <w:color w:val="auto"/>
        </w:rPr>
      </w:pPr>
    </w:p>
    <w:p>
      <w:pPr>
        <w:ind w:left="4400"/>
        <w:spacing w:after="0"/>
        <w:rPr>
          <w:sz w:val="20"/>
          <w:szCs w:val="20"/>
          <w:color w:val="auto"/>
        </w:rPr>
      </w:pPr>
      <w:r>
        <w:rPr>
          <w:rFonts w:ascii="Arial" w:cs="Arial" w:eastAsia="Arial" w:hAnsi="Arial"/>
          <w:sz w:val="18"/>
          <w:szCs w:val="18"/>
          <w:color w:val="auto"/>
        </w:rPr>
        <w:t>Respectfully submitted,</w:t>
      </w:r>
    </w:p>
    <w:p>
      <w:pPr>
        <w:spacing w:after="0" w:line="169" w:lineRule="exact"/>
        <w:rPr>
          <w:sz w:val="20"/>
          <w:szCs w:val="20"/>
          <w:color w:val="auto"/>
        </w:rPr>
      </w:pPr>
    </w:p>
    <w:p>
      <w:pPr>
        <w:ind w:left="4400"/>
        <w:spacing w:after="0"/>
        <w:rPr>
          <w:sz w:val="20"/>
          <w:szCs w:val="20"/>
          <w:color w:val="auto"/>
        </w:rPr>
      </w:pPr>
      <w:r>
        <w:rPr>
          <w:rFonts w:ascii="Arial" w:cs="Arial" w:eastAsia="Arial" w:hAnsi="Arial"/>
          <w:sz w:val="18"/>
          <w:szCs w:val="18"/>
          <w:b w:val="1"/>
          <w:bCs w:val="1"/>
          <w:u w:val="single" w:color="auto"/>
          <w:color w:val="auto"/>
        </w:rPr>
        <w:t>Audit Committee</w:t>
      </w:r>
    </w:p>
    <w:p>
      <w:pPr>
        <w:spacing w:after="0" w:line="15" w:lineRule="exact"/>
        <w:rPr>
          <w:sz w:val="20"/>
          <w:szCs w:val="20"/>
          <w:color w:val="auto"/>
        </w:rPr>
      </w:pPr>
    </w:p>
    <w:p>
      <w:pPr>
        <w:ind w:left="4400"/>
        <w:spacing w:after="0"/>
        <w:rPr>
          <w:sz w:val="20"/>
          <w:szCs w:val="20"/>
          <w:color w:val="auto"/>
        </w:rPr>
      </w:pPr>
      <w:r>
        <w:rPr>
          <w:rFonts w:ascii="Arial" w:cs="Arial" w:eastAsia="Arial" w:hAnsi="Arial"/>
          <w:sz w:val="18"/>
          <w:szCs w:val="18"/>
          <w:color w:val="auto"/>
        </w:rPr>
        <w:t>Herminio A. Blanco, Chair</w:t>
      </w:r>
    </w:p>
    <w:p>
      <w:pPr>
        <w:ind w:left="4400"/>
        <w:spacing w:after="0" w:line="234" w:lineRule="auto"/>
        <w:rPr>
          <w:sz w:val="20"/>
          <w:szCs w:val="20"/>
          <w:color w:val="auto"/>
        </w:rPr>
      </w:pPr>
      <w:r>
        <w:rPr>
          <w:rFonts w:ascii="Arial" w:cs="Arial" w:eastAsia="Arial" w:hAnsi="Arial"/>
          <w:sz w:val="18"/>
          <w:szCs w:val="18"/>
          <w:color w:val="auto"/>
        </w:rPr>
        <w:t>Alexandra M. Aguirre, Director</w:t>
      </w:r>
    </w:p>
    <w:p>
      <w:pPr>
        <w:ind w:left="4400"/>
        <w:spacing w:after="0" w:line="235" w:lineRule="auto"/>
        <w:rPr>
          <w:sz w:val="20"/>
          <w:szCs w:val="20"/>
          <w:color w:val="auto"/>
        </w:rPr>
      </w:pPr>
      <w:r>
        <w:rPr>
          <w:rFonts w:ascii="Arial" w:cs="Arial" w:eastAsia="Arial" w:hAnsi="Arial"/>
          <w:sz w:val="18"/>
          <w:szCs w:val="18"/>
          <w:color w:val="auto"/>
        </w:rPr>
        <w:t>Isela Costantini, Director</w:t>
      </w:r>
    </w:p>
    <w:p>
      <w:pPr>
        <w:ind w:left="4400"/>
        <w:spacing w:after="0" w:line="235" w:lineRule="auto"/>
        <w:rPr>
          <w:sz w:val="20"/>
          <w:szCs w:val="20"/>
          <w:color w:val="auto"/>
        </w:rPr>
      </w:pPr>
      <w:r>
        <w:rPr>
          <w:rFonts w:ascii="Arial" w:cs="Arial" w:eastAsia="Arial" w:hAnsi="Arial"/>
          <w:sz w:val="18"/>
          <w:szCs w:val="18"/>
          <w:color w:val="auto"/>
        </w:rPr>
        <w:t>José Alberto Garzón, Director</w:t>
      </w:r>
    </w:p>
    <w:p>
      <w:pPr>
        <w:ind w:left="4400"/>
        <w:spacing w:after="0"/>
        <w:rPr>
          <w:sz w:val="20"/>
          <w:szCs w:val="20"/>
          <w:color w:val="auto"/>
        </w:rPr>
      </w:pPr>
      <w:r>
        <w:rPr>
          <w:rFonts w:ascii="Arial" w:cs="Arial" w:eastAsia="Arial" w:hAnsi="Arial"/>
          <w:sz w:val="18"/>
          <w:szCs w:val="18"/>
          <w:color w:val="auto"/>
        </w:rPr>
        <w:t>Eduardo Hecker,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134620</wp:posOffset>
            </wp:positionV>
            <wp:extent cx="5623560" cy="825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220345</wp:posOffset>
            </wp:positionV>
            <wp:extent cx="411480" cy="18034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43"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30</w:t>
        <w:tab/>
        <w:t>Proxy Statement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193040</wp:posOffset>
            </wp:positionV>
            <wp:extent cx="6995160" cy="1714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4" w:right="1440" w:bottom="1440" w:gutter="0" w:footer="0" w:header="0"/>
        </w:sectPr>
      </w:pPr>
    </w:p>
    <w:bookmarkStart w:id="37" w:name="page38"/>
    <w:bookmarkEnd w:id="37"/>
    <w:p>
      <w:pPr>
        <w:jc w:val="center"/>
        <w:ind w:right="79"/>
        <w:spacing w:after="0"/>
        <w:rPr>
          <w:sz w:val="20"/>
          <w:szCs w:val="20"/>
          <w:color w:val="auto"/>
        </w:rPr>
      </w:pPr>
      <w:r>
        <w:rPr>
          <w:rFonts w:ascii="Arial" w:cs="Arial" w:eastAsia="Arial" w:hAnsi="Arial"/>
          <w:sz w:val="29"/>
          <w:szCs w:val="29"/>
          <w:b w:val="1"/>
          <w:bCs w:val="1"/>
          <w:color w:val="0065C1"/>
        </w:rPr>
        <w:t>Shareholders Proposals for 2022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47625</wp:posOffset>
            </wp:positionV>
            <wp:extent cx="5623560" cy="889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194" w:lineRule="exact"/>
        <w:rPr>
          <w:sz w:val="20"/>
          <w:szCs w:val="20"/>
          <w:color w:val="auto"/>
        </w:rPr>
      </w:pPr>
    </w:p>
    <w:p>
      <w:pPr>
        <w:jc w:val="both"/>
        <w:ind w:left="80" w:right="79"/>
        <w:spacing w:after="0" w:line="241" w:lineRule="auto"/>
        <w:rPr>
          <w:sz w:val="20"/>
          <w:szCs w:val="20"/>
          <w:color w:val="auto"/>
        </w:rPr>
      </w:pPr>
      <w:r>
        <w:rPr>
          <w:rFonts w:ascii="Arial" w:cs="Arial" w:eastAsia="Arial" w:hAnsi="Arial"/>
          <w:sz w:val="18"/>
          <w:szCs w:val="18"/>
          <w:color w:val="auto"/>
        </w:rPr>
        <w:t>Any proposals that a shareholder wishes to have included in the Bank’s Proxy Statement for the 2022 annual meeting of shareholders, including, without limitation, any nomination of a Director who the shareholder is entitled to elect, must be received by the Secretary of the Bank at Torre V, Business Park, Avenida La Rotonda, Urbanización Costa del Este, P.O. Box 0819-08730</w:t>
      </w:r>
      <w:r>
        <w:rPr>
          <w:rFonts w:ascii="Arial" w:cs="Arial" w:eastAsia="Arial" w:hAnsi="Arial"/>
          <w:sz w:val="18"/>
          <w:szCs w:val="18"/>
          <w:b w:val="1"/>
          <w:bCs w:val="1"/>
          <w:color w:val="auto"/>
        </w:rPr>
        <w:t>,</w:t>
      </w:r>
      <w:r>
        <w:rPr>
          <w:rFonts w:ascii="Arial" w:cs="Arial" w:eastAsia="Arial" w:hAnsi="Arial"/>
          <w:sz w:val="18"/>
          <w:szCs w:val="18"/>
          <w:color w:val="auto"/>
        </w:rPr>
        <w:t xml:space="preserve"> Panama City, Republic of Panama, no later than January 11, 2022. In the event the proposal includes a nomination for a directorship, it must include material background information relating to the nominee to allow the Compensation Committee to evaluate the nominee.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127635</wp:posOffset>
            </wp:positionV>
            <wp:extent cx="5623560" cy="825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213360</wp:posOffset>
            </wp:positionV>
            <wp:extent cx="411480" cy="17970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32" w:lineRule="exact"/>
        <w:rPr>
          <w:sz w:val="20"/>
          <w:szCs w:val="20"/>
          <w:color w:val="auto"/>
        </w:rPr>
      </w:pPr>
    </w:p>
    <w:p>
      <w:pPr>
        <w:jc w:val="right"/>
        <w:ind w:right="79"/>
        <w:spacing w:after="0"/>
        <w:tabs>
          <w:tab w:leader="none" w:pos="180" w:val="left"/>
        </w:tabs>
        <w:rPr>
          <w:sz w:val="20"/>
          <w:szCs w:val="20"/>
          <w:color w:val="auto"/>
        </w:rPr>
      </w:pPr>
      <w:r>
        <w:rPr>
          <w:rFonts w:ascii="Arial" w:cs="Arial" w:eastAsia="Arial" w:hAnsi="Arial"/>
          <w:sz w:val="18"/>
          <w:szCs w:val="18"/>
          <w:b w:val="1"/>
          <w:bCs w:val="1"/>
          <w:color w:val="auto"/>
        </w:rPr>
        <w:t>Proxy Statement 2021</w:t>
      </w:r>
      <w:r>
        <w:rPr>
          <w:sz w:val="20"/>
          <w:szCs w:val="20"/>
          <w:color w:val="auto"/>
        </w:rPr>
        <w:tab/>
      </w:r>
      <w:r>
        <w:rPr>
          <w:rFonts w:ascii="Arial" w:cs="Arial" w:eastAsia="Arial" w:hAnsi="Arial"/>
          <w:sz w:val="17"/>
          <w:szCs w:val="17"/>
          <w:b w:val="1"/>
          <w:bCs w:val="1"/>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4" w:right="1440" w:bottom="1440" w:gutter="0" w:footer="0" w:header="0"/>
        </w:sectPr>
      </w:pPr>
    </w:p>
    <w:bookmarkStart w:id="38" w:name="page39"/>
    <w:bookmarkEnd w:id="38"/>
    <w:p>
      <w:pPr>
        <w:jc w:val="center"/>
        <w:ind w:right="79"/>
        <w:spacing w:after="0"/>
        <w:rPr>
          <w:sz w:val="20"/>
          <w:szCs w:val="20"/>
          <w:color w:val="auto"/>
        </w:rPr>
      </w:pPr>
      <w:r>
        <w:rPr>
          <w:rFonts w:ascii="Arial" w:cs="Arial" w:eastAsia="Arial" w:hAnsi="Arial"/>
          <w:sz w:val="29"/>
          <w:szCs w:val="29"/>
          <w:b w:val="1"/>
          <w:bCs w:val="1"/>
          <w:color w:val="0065C1"/>
        </w:rPr>
        <w:t>Other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47625</wp:posOffset>
            </wp:positionV>
            <wp:extent cx="5623560" cy="88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194" w:lineRule="exact"/>
        <w:rPr>
          <w:sz w:val="20"/>
          <w:szCs w:val="20"/>
          <w:color w:val="auto"/>
        </w:rPr>
      </w:pPr>
    </w:p>
    <w:p>
      <w:pPr>
        <w:ind w:left="80" w:right="99"/>
        <w:spacing w:after="0" w:line="276" w:lineRule="auto"/>
        <w:rPr>
          <w:sz w:val="20"/>
          <w:szCs w:val="20"/>
          <w:color w:val="auto"/>
        </w:rPr>
      </w:pPr>
      <w:r>
        <w:rPr>
          <w:rFonts w:ascii="Arial" w:cs="Arial" w:eastAsia="Arial" w:hAnsi="Arial"/>
          <w:sz w:val="18"/>
          <w:szCs w:val="18"/>
          <w:color w:val="auto"/>
        </w:rPr>
        <w:t>If any other matters should properly come before the Annual Meeting, proxies solicited hereby will be voted with respect to such other matters in accordance with the best judgment of the persons voting the proxies.</w:t>
      </w:r>
    </w:p>
    <w:p>
      <w:pPr>
        <w:spacing w:after="0" w:line="104" w:lineRule="exact"/>
        <w:rPr>
          <w:sz w:val="20"/>
          <w:szCs w:val="20"/>
          <w:color w:val="auto"/>
        </w:rPr>
      </w:pPr>
    </w:p>
    <w:p>
      <w:pPr>
        <w:ind w:left="4400"/>
        <w:spacing w:after="0"/>
        <w:rPr>
          <w:sz w:val="20"/>
          <w:szCs w:val="20"/>
          <w:color w:val="auto"/>
        </w:rPr>
      </w:pPr>
      <w:r>
        <w:rPr>
          <w:rFonts w:ascii="Arial" w:cs="Arial" w:eastAsia="Arial" w:hAnsi="Arial"/>
          <w:sz w:val="18"/>
          <w:szCs w:val="18"/>
          <w:color w:val="auto"/>
        </w:rPr>
        <w:t>By Order of the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2791460</wp:posOffset>
            </wp:positionH>
            <wp:positionV relativeFrom="paragraph">
              <wp:posOffset>397510</wp:posOffset>
            </wp:positionV>
            <wp:extent cx="1774190" cy="96837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1774190" cy="9683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4400"/>
        <w:spacing w:after="0"/>
        <w:rPr>
          <w:sz w:val="20"/>
          <w:szCs w:val="20"/>
          <w:color w:val="auto"/>
        </w:rPr>
      </w:pPr>
      <w:r>
        <w:rPr>
          <w:rFonts w:ascii="Arial" w:cs="Arial" w:eastAsia="Arial" w:hAnsi="Arial"/>
          <w:sz w:val="18"/>
          <w:szCs w:val="18"/>
          <w:color w:val="auto"/>
        </w:rPr>
        <w:t>Jorge Luis Real</w:t>
      </w:r>
    </w:p>
    <w:p>
      <w:pPr>
        <w:spacing w:after="0" w:line="18" w:lineRule="exact"/>
        <w:rPr>
          <w:sz w:val="20"/>
          <w:szCs w:val="20"/>
          <w:color w:val="auto"/>
        </w:rPr>
      </w:pPr>
    </w:p>
    <w:p>
      <w:pPr>
        <w:ind w:left="4400"/>
        <w:spacing w:after="0"/>
        <w:rPr>
          <w:sz w:val="20"/>
          <w:szCs w:val="20"/>
          <w:color w:val="auto"/>
        </w:rPr>
      </w:pPr>
      <w:r>
        <w:rPr>
          <w:rFonts w:ascii="Arial" w:cs="Arial" w:eastAsia="Arial" w:hAnsi="Arial"/>
          <w:sz w:val="18"/>
          <w:szCs w:val="18"/>
          <w:color w:val="auto"/>
        </w:rPr>
        <w:t>Secretary</w:t>
      </w:r>
    </w:p>
    <w:p>
      <w:pPr>
        <w:spacing w:after="0" w:line="163" w:lineRule="exact"/>
        <w:rPr>
          <w:sz w:val="20"/>
          <w:szCs w:val="20"/>
          <w:color w:val="auto"/>
        </w:rPr>
      </w:pPr>
    </w:p>
    <w:p>
      <w:pPr>
        <w:ind w:left="80"/>
        <w:spacing w:after="0"/>
        <w:rPr>
          <w:sz w:val="20"/>
          <w:szCs w:val="20"/>
          <w:color w:val="auto"/>
        </w:rPr>
      </w:pPr>
      <w:r>
        <w:rPr>
          <w:rFonts w:ascii="Arial" w:cs="Arial" w:eastAsia="Arial" w:hAnsi="Arial"/>
          <w:sz w:val="18"/>
          <w:szCs w:val="18"/>
          <w:color w:val="auto"/>
        </w:rPr>
        <w:t>March 18,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148590</wp:posOffset>
            </wp:positionV>
            <wp:extent cx="5623560" cy="825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234315</wp:posOffset>
            </wp:positionV>
            <wp:extent cx="411480" cy="17970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65"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32</w:t>
        <w:tab/>
        <w:t>Proxy Statement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184150</wp:posOffset>
            </wp:positionV>
            <wp:extent cx="6995160" cy="1714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4" w:right="1440" w:bottom="1440" w:gutter="0" w:footer="0" w:header="0"/>
        </w:sectPr>
      </w:pPr>
    </w:p>
    <w:bookmarkStart w:id="39" w:name="page40"/>
    <w:bookmarkEnd w:id="3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276860</wp:posOffset>
            </wp:positionH>
            <wp:positionV relativeFrom="page">
              <wp:posOffset>423545</wp:posOffset>
            </wp:positionV>
            <wp:extent cx="6995160" cy="872680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6995160" cy="872680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0" w:name="page41"/>
    <w:bookmarkEnd w:id="4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482600</wp:posOffset>
            </wp:positionH>
            <wp:positionV relativeFrom="page">
              <wp:posOffset>1443355</wp:posOffset>
            </wp:positionV>
            <wp:extent cx="6591935" cy="655764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clrChange>
                        <a:clrFrom>
                          <a:srgbClr val="FFFFFF"/>
                        </a:clrFrom>
                        <a:clrTo>
                          <a:srgbClr val="FFFFFF">
                            <a:alpha val="0"/>
                          </a:srgbClr>
                        </a:clrTo>
                      </a:clrChange>
                      <a:extLst>
                        <a:ext uri="{28A0092B-C50C-407E-A947-70E740481C1C}"/>
                      </a:extLst>
                    </a:blip>
                    <a:srcRect/>
                    <a:stretch>
                      <a:fillRect/>
                    </a:stretch>
                  </pic:blipFill>
                  <pic:spPr bwMode="auto">
                    <a:xfrm>
                      <a:off x="0" y="0"/>
                      <a:ext cx="6591935" cy="655764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46E87CCD"/>
    <w:multiLevelType w:val="hybridMultilevel"/>
    <w:lvl w:ilvl="0">
      <w:lvlJc w:val="left"/>
      <w:lvlText w:val="%1)"/>
      <w:numFmt w:val="decimal"/>
      <w:start w:val="1"/>
    </w:lvl>
  </w:abstractNum>
  <w:abstractNum w:abstractNumId="1">
    <w:nsid w:val="3D1B58BA"/>
    <w:multiLevelType w:val="hybridMultilevel"/>
    <w:lvl w:ilvl="0">
      <w:lvlJc w:val="left"/>
      <w:lvlText w:val="%1)"/>
      <w:numFmt w:val="decimal"/>
      <w:start w:val="1"/>
    </w:lvl>
  </w:abstractNum>
  <w:abstractNum w:abstractNumId="2">
    <w:nsid w:val="507ED7AB"/>
    <w:multiLevelType w:val="hybridMultilevel"/>
    <w:lvl w:ilvl="0">
      <w:lvlJc w:val="left"/>
      <w:lvlText w:val="%1)"/>
      <w:numFmt w:val="decimal"/>
      <w:start w:val="1"/>
    </w:lvl>
  </w:abstractNum>
  <w:abstractNum w:abstractNumId="3">
    <w:nsid w:val="2EB141F2"/>
    <w:multiLevelType w:val="hybridMultilevel"/>
    <w:lvl w:ilvl="0">
      <w:lvlJc w:val="left"/>
      <w:lvlText w:val="(%1)"/>
      <w:numFmt w:val="decimal"/>
      <w:start w:val="1"/>
    </w:lvl>
  </w:abstractNum>
  <w:abstractNum w:abstractNumId="4">
    <w:nsid w:val="41B71EFB"/>
    <w:multiLevelType w:val="hybridMultilevel"/>
    <w:lvl w:ilvl="0">
      <w:lvlJc w:val="left"/>
      <w:lvlText w:val="•"/>
      <w:numFmt w:val="bullet"/>
      <w:start w:val="1"/>
    </w:lvl>
  </w:abstractNum>
  <w:abstractNum w:abstractNumId="5">
    <w:nsid w:val="79E2A9E3"/>
    <w:multiLevelType w:val="hybridMultilevel"/>
    <w:lvl w:ilvl="0">
      <w:lvlJc w:val="left"/>
      <w:lvlText w:val="*"/>
      <w:numFmt w:val="bullet"/>
      <w:start w:val="1"/>
    </w:lvl>
  </w:abstractNum>
  <w:abstractNum w:abstractNumId="6">
    <w:nsid w:val="7545E146"/>
    <w:multiLevelType w:val="hybridMultilevel"/>
    <w:lvl w:ilvl="0">
      <w:lvlJc w:val="left"/>
      <w:lvlText w:val="(%1)"/>
      <w:numFmt w:val="decimal"/>
      <w:start w:val="1"/>
    </w:lvl>
  </w:abstractNum>
  <w:abstractNum w:abstractNumId="7">
    <w:nsid w:val="515F007C"/>
    <w:multiLevelType w:val="hybridMultilevel"/>
    <w:lvl w:ilvl="0">
      <w:lvlJc w:val="left"/>
      <w:lvlText w:val="*"/>
      <w:numFmt w:val="bullet"/>
      <w:start w:val="1"/>
    </w:lvl>
  </w:abstractNum>
  <w:abstractNum w:abstractNumId="8">
    <w:nsid w:val="5BD062C2"/>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jpe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jpe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jpe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jpeg"/><Relationship Id="rId64" Type="http://schemas.openxmlformats.org/officeDocument/2006/relationships/image" Target="media/image57.pn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jpe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jpe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jpe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jpe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png"/><Relationship Id="rId96" Type="http://schemas.openxmlformats.org/officeDocument/2006/relationships/image" Target="media/image89.jpe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jpeg"/><Relationship Id="rId100" Type="http://schemas.openxmlformats.org/officeDocument/2006/relationships/image" Target="media/image93.png"/><Relationship Id="rId101" Type="http://schemas.openxmlformats.org/officeDocument/2006/relationships/image" Target="media/image94.jpe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jpeg"/><Relationship Id="rId105" Type="http://schemas.openxmlformats.org/officeDocument/2006/relationships/image" Target="media/image98.jpeg"/><Relationship Id="rId106" Type="http://schemas.openxmlformats.org/officeDocument/2006/relationships/image" Target="media/image99.jpeg"/><Relationship Id="rId107" Type="http://schemas.openxmlformats.org/officeDocument/2006/relationships/image" Target="media/image100.jpeg"/><Relationship Id="rId108" Type="http://schemas.openxmlformats.org/officeDocument/2006/relationships/image" Target="media/image101.jpeg"/><Relationship Id="rId109" Type="http://schemas.openxmlformats.org/officeDocument/2006/relationships/image" Target="media/image102.jpeg"/><Relationship Id="rId110" Type="http://schemas.openxmlformats.org/officeDocument/2006/relationships/image" Target="media/image103.jpeg"/><Relationship Id="rId111" Type="http://schemas.openxmlformats.org/officeDocument/2006/relationships/image" Target="media/image104.jpeg"/><Relationship Id="rId112" Type="http://schemas.openxmlformats.org/officeDocument/2006/relationships/image" Target="media/image105.jpeg"/><Relationship Id="rId113" Type="http://schemas.openxmlformats.org/officeDocument/2006/relationships/image" Target="media/image106.jpeg"/><Relationship Id="rId114" Type="http://schemas.openxmlformats.org/officeDocument/2006/relationships/image" Target="media/image107.jpeg"/><Relationship Id="rId115" Type="http://schemas.openxmlformats.org/officeDocument/2006/relationships/image" Target="media/image108.jpeg"/><Relationship Id="rId116" Type="http://schemas.openxmlformats.org/officeDocument/2006/relationships/image" Target="media/image109.jpeg"/><Relationship Id="rId117" Type="http://schemas.openxmlformats.org/officeDocument/2006/relationships/image" Target="media/image110.jpeg"/><Relationship Id="rId118" Type="http://schemas.openxmlformats.org/officeDocument/2006/relationships/image" Target="media/image111.jpeg"/><Relationship Id="rId119" Type="http://schemas.openxmlformats.org/officeDocument/2006/relationships/image" Target="media/image112.jpeg"/><Relationship Id="rId120" Type="http://schemas.openxmlformats.org/officeDocument/2006/relationships/image" Target="media/image113.jpeg"/><Relationship Id="rId121" Type="http://schemas.openxmlformats.org/officeDocument/2006/relationships/image" Target="media/image114.jpeg"/><Relationship Id="rId122" Type="http://schemas.openxmlformats.org/officeDocument/2006/relationships/image" Target="media/image115.jpeg"/><Relationship Id="rId123" Type="http://schemas.openxmlformats.org/officeDocument/2006/relationships/image" Target="media/image116.jpeg"/><Relationship Id="rId124" Type="http://schemas.openxmlformats.org/officeDocument/2006/relationships/image" Target="media/image117.jpe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jpeg"/><Relationship Id="rId128" Type="http://schemas.openxmlformats.org/officeDocument/2006/relationships/image" Target="media/image121.jpeg"/><Relationship Id="rId129" Type="http://schemas.openxmlformats.org/officeDocument/2006/relationships/image" Target="media/image122.png"/><Relationship Id="rId130" Type="http://schemas.openxmlformats.org/officeDocument/2006/relationships/image" Target="media/image123.jpe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jpe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jpe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jpe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jpe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jpe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jpe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jpe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jpe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jpe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jpe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jpe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jpe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jpe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jpe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jpeg"/><Relationship Id="rId190" Type="http://schemas.openxmlformats.org/officeDocument/2006/relationships/image" Target="media/image183.png"/><Relationship Id="rId191" Type="http://schemas.openxmlformats.org/officeDocument/2006/relationships/image" Target="media/image184.jpe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2021-03-19T15:22:30Z</dcterms:created>
  <dcterms:modified xsi:type="dcterms:W3CDTF">2021-03-19T15:22:30Z</dcterms:modified>
</cp:coreProperties>
</file>